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83EB" w14:textId="77777777" w:rsidR="00D14701" w:rsidRPr="000D79B8" w:rsidRDefault="00442747">
      <w:pPr>
        <w:pStyle w:val="Standard"/>
        <w:jc w:val="center"/>
        <w:rPr>
          <w:rFonts w:ascii="Times New Roman" w:hAnsi="Times New Roman" w:cs="Times New Roman"/>
        </w:rPr>
      </w:pPr>
      <w:r w:rsidRPr="000D79B8">
        <w:rPr>
          <w:rFonts w:ascii="Times New Roman" w:hAnsi="Times New Roman" w:cs="Times New Roman"/>
        </w:rPr>
        <w:pict w14:anchorId="19F7C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B920B0" w:rsidRPr="000D79B8">
        <w:rPr>
          <w:rFonts w:ascii="Times New Roman" w:hAnsi="Times New Roman" w:cs="Times New Roman"/>
        </w:rPr>
        <w:pict w14:anchorId="2DBC9A00">
          <v:shape id="_x0000_i0" o:spid="_x0000_i1025" type="#_x0000_t75" style="width:64.5pt;height:57.75pt;mso-wrap-distance-left:0;mso-wrap-distance-top:0;mso-wrap-distance-right:0;mso-wrap-distance-bottom:0">
            <v:imagedata r:id="rId8" o:title=""/>
            <v:path textboxrect="0,0,0,0"/>
          </v:shape>
        </w:pict>
      </w:r>
    </w:p>
    <w:p w14:paraId="6139E6C7" w14:textId="77777777" w:rsidR="00D14701" w:rsidRPr="000D79B8" w:rsidRDefault="00477D65">
      <w:pPr>
        <w:pStyle w:val="Standard"/>
        <w:jc w:val="center"/>
        <w:rPr>
          <w:rFonts w:ascii="Times New Roman" w:eastAsia="Times New Roman" w:hAnsi="Times New Roman" w:cs="Times New Roman"/>
        </w:rPr>
      </w:pPr>
      <w:r w:rsidRPr="000D79B8">
        <w:rPr>
          <w:rFonts w:ascii="Times New Roman" w:eastAsia="Times New Roman" w:hAnsi="Times New Roman" w:cs="Times New Roman"/>
          <w:b/>
        </w:rPr>
        <w:t>MINISTÉRIO DA DEFESA</w:t>
      </w:r>
    </w:p>
    <w:p w14:paraId="05575D0D" w14:textId="77777777" w:rsidR="00D14701" w:rsidRPr="000D79B8" w:rsidRDefault="00477D65">
      <w:pPr>
        <w:pStyle w:val="Standard"/>
        <w:jc w:val="center"/>
        <w:rPr>
          <w:rFonts w:ascii="Times New Roman" w:eastAsia="Times New Roman" w:hAnsi="Times New Roman" w:cs="Times New Roman"/>
        </w:rPr>
      </w:pPr>
      <w:r w:rsidRPr="000D79B8">
        <w:rPr>
          <w:rFonts w:ascii="Times New Roman" w:eastAsia="Times New Roman" w:hAnsi="Times New Roman" w:cs="Times New Roman"/>
          <w:b/>
        </w:rPr>
        <w:t>EXÉRCITO BRASILEIRO</w:t>
      </w:r>
    </w:p>
    <w:p w14:paraId="03997FC3" w14:textId="77777777" w:rsidR="00D14701" w:rsidRPr="000D79B8" w:rsidRDefault="00477D65">
      <w:pPr>
        <w:pStyle w:val="Standard"/>
        <w:jc w:val="center"/>
        <w:rPr>
          <w:rFonts w:ascii="Times New Roman" w:eastAsia="Times New Roman" w:hAnsi="Times New Roman" w:cs="Times New Roman"/>
        </w:rPr>
      </w:pPr>
      <w:r w:rsidRPr="000D79B8">
        <w:rPr>
          <w:rFonts w:ascii="Times New Roman" w:eastAsia="Times New Roman" w:hAnsi="Times New Roman" w:cs="Times New Roman"/>
          <w:b/>
        </w:rPr>
        <w:t>DEPÓSITO CENTRAL DE MUNIÇÃO</w:t>
      </w:r>
    </w:p>
    <w:p w14:paraId="32C70C9F" w14:textId="77777777" w:rsidR="00D14701" w:rsidRPr="000D79B8" w:rsidRDefault="00477D65">
      <w:pPr>
        <w:pStyle w:val="Standard"/>
        <w:jc w:val="center"/>
        <w:rPr>
          <w:rFonts w:ascii="Times New Roman" w:eastAsia="Times New Roman" w:hAnsi="Times New Roman" w:cs="Times New Roman"/>
        </w:rPr>
      </w:pPr>
      <w:r w:rsidRPr="000D79B8">
        <w:rPr>
          <w:rFonts w:ascii="Times New Roman" w:eastAsia="Times New Roman" w:hAnsi="Times New Roman" w:cs="Times New Roman"/>
          <w:b/>
        </w:rPr>
        <w:t>(D C M B / 1918)</w:t>
      </w:r>
    </w:p>
    <w:p w14:paraId="193BECC2" w14:textId="77777777" w:rsidR="00D14701" w:rsidRPr="000D79B8" w:rsidRDefault="00D14701">
      <w:pPr>
        <w:jc w:val="center"/>
        <w:rPr>
          <w:rFonts w:ascii="Times New Roman" w:eastAsia="Times New Roman" w:hAnsi="Times New Roman" w:cs="Times New Roman"/>
          <w:b/>
          <w:color w:val="FF0000"/>
        </w:rPr>
      </w:pPr>
    </w:p>
    <w:p w14:paraId="2AF67C69" w14:textId="77777777" w:rsidR="00D14701" w:rsidRPr="000D79B8" w:rsidRDefault="00477D65">
      <w:pPr>
        <w:spacing w:after="120" w:line="276" w:lineRule="auto"/>
        <w:ind w:right="-15"/>
        <w:jc w:val="center"/>
        <w:rPr>
          <w:rFonts w:ascii="Times New Roman" w:hAnsi="Times New Roman" w:cs="Times New Roman"/>
        </w:rPr>
      </w:pPr>
      <w:r w:rsidRPr="000D79B8">
        <w:rPr>
          <w:rFonts w:ascii="Times New Roman" w:hAnsi="Times New Roman" w:cs="Times New Roman"/>
          <w:b/>
          <w:bCs/>
        </w:rPr>
        <w:t>ANEXO I</w:t>
      </w:r>
    </w:p>
    <w:p w14:paraId="4D0F88E2" w14:textId="77777777" w:rsidR="00D14701" w:rsidRPr="000D79B8" w:rsidRDefault="00477D65">
      <w:pPr>
        <w:spacing w:after="120" w:line="276" w:lineRule="auto"/>
        <w:ind w:right="-15"/>
        <w:jc w:val="center"/>
        <w:rPr>
          <w:rFonts w:ascii="Times New Roman" w:hAnsi="Times New Roman" w:cs="Times New Roman"/>
        </w:rPr>
      </w:pPr>
      <w:r w:rsidRPr="000D79B8">
        <w:rPr>
          <w:rFonts w:ascii="Times New Roman" w:hAnsi="Times New Roman" w:cs="Times New Roman"/>
          <w:b/>
          <w:bCs/>
        </w:rPr>
        <w:t>TERMO DE REFERÊNCIA</w:t>
      </w:r>
    </w:p>
    <w:p w14:paraId="68031D8A" w14:textId="77777777" w:rsidR="00D14701" w:rsidRPr="000D79B8" w:rsidRDefault="00477D65">
      <w:pPr>
        <w:spacing w:line="276" w:lineRule="auto"/>
        <w:jc w:val="center"/>
        <w:rPr>
          <w:rFonts w:ascii="Times New Roman" w:hAnsi="Times New Roman" w:cs="Times New Roman"/>
        </w:rPr>
      </w:pPr>
      <w:r w:rsidRPr="000D79B8">
        <w:rPr>
          <w:rFonts w:ascii="Times New Roman" w:hAnsi="Times New Roman" w:cs="Times New Roman"/>
          <w:b/>
          <w:bCs/>
        </w:rPr>
        <w:t>DEPÓSITO CENTRAL DE MUNIÇÃO</w:t>
      </w:r>
    </w:p>
    <w:p w14:paraId="5A91365C" w14:textId="77777777" w:rsidR="00D14701" w:rsidRPr="000D79B8" w:rsidRDefault="00477D65">
      <w:pPr>
        <w:spacing w:line="276" w:lineRule="auto"/>
        <w:jc w:val="center"/>
        <w:rPr>
          <w:rFonts w:ascii="Times New Roman" w:hAnsi="Times New Roman" w:cs="Times New Roman"/>
          <w:color w:val="000000"/>
        </w:rPr>
      </w:pPr>
      <w:r w:rsidRPr="000D79B8">
        <w:rPr>
          <w:rFonts w:ascii="Times New Roman" w:hAnsi="Times New Roman" w:cs="Times New Roman"/>
          <w:b/>
          <w:bCs/>
          <w:color w:val="000000" w:themeColor="text1"/>
        </w:rPr>
        <w:t>PREGÃO ELETRÔNICO Nº</w:t>
      </w:r>
      <w:r w:rsidRPr="000D79B8">
        <w:rPr>
          <w:rFonts w:ascii="Times New Roman" w:hAnsi="Times New Roman" w:cs="Times New Roman"/>
          <w:b/>
          <w:bCs/>
          <w:color w:val="000000" w:themeColor="text1"/>
          <w:highlight w:val="white"/>
        </w:rPr>
        <w:t xml:space="preserve"> 09/2023</w:t>
      </w:r>
    </w:p>
    <w:p w14:paraId="0FDF5199" w14:textId="77777777" w:rsidR="00D14701" w:rsidRPr="000D79B8" w:rsidRDefault="00477D65">
      <w:pPr>
        <w:spacing w:before="234"/>
        <w:jc w:val="center"/>
        <w:rPr>
          <w:rFonts w:ascii="Times New Roman" w:hAnsi="Times New Roman" w:cs="Times New Roman"/>
          <w:highlight w:val="white"/>
        </w:rPr>
      </w:pPr>
      <w:r w:rsidRPr="000D79B8">
        <w:rPr>
          <w:rFonts w:ascii="Times New Roman" w:hAnsi="Times New Roman" w:cs="Times New Roman"/>
        </w:rPr>
        <w:t>(</w:t>
      </w:r>
      <w:r w:rsidRPr="000D79B8">
        <w:rPr>
          <w:rFonts w:ascii="Times New Roman" w:hAnsi="Times New Roman" w:cs="Times New Roman"/>
          <w:highlight w:val="white"/>
        </w:rPr>
        <w:t>Número</w:t>
      </w:r>
      <w:r w:rsidRPr="000D79B8">
        <w:rPr>
          <w:rFonts w:ascii="Times New Roman" w:hAnsi="Times New Roman" w:cs="Times New Roman"/>
          <w:spacing w:val="-3"/>
          <w:highlight w:val="white"/>
        </w:rPr>
        <w:t xml:space="preserve"> </w:t>
      </w:r>
      <w:r w:rsidRPr="000D79B8">
        <w:rPr>
          <w:rFonts w:ascii="Times New Roman" w:hAnsi="Times New Roman" w:cs="Times New Roman"/>
          <w:highlight w:val="white"/>
        </w:rPr>
        <w:t>do</w:t>
      </w:r>
      <w:r w:rsidRPr="000D79B8">
        <w:rPr>
          <w:rFonts w:ascii="Times New Roman" w:hAnsi="Times New Roman" w:cs="Times New Roman"/>
          <w:spacing w:val="-2"/>
          <w:highlight w:val="white"/>
        </w:rPr>
        <w:t xml:space="preserve"> </w:t>
      </w:r>
      <w:r w:rsidRPr="000D79B8">
        <w:rPr>
          <w:rFonts w:ascii="Times New Roman" w:hAnsi="Times New Roman" w:cs="Times New Roman"/>
          <w:highlight w:val="white"/>
        </w:rPr>
        <w:t>processo:</w:t>
      </w:r>
      <w:r w:rsidRPr="000D79B8">
        <w:rPr>
          <w:rFonts w:ascii="Times New Roman" w:hAnsi="Times New Roman" w:cs="Times New Roman"/>
          <w:spacing w:val="-2"/>
          <w:highlight w:val="white"/>
        </w:rPr>
        <w:t xml:space="preserve"> </w:t>
      </w:r>
      <w:r w:rsidRPr="000D79B8">
        <w:rPr>
          <w:rFonts w:ascii="Times New Roman" w:hAnsi="Times New Roman" w:cs="Times New Roman"/>
          <w:highlight w:val="white"/>
        </w:rPr>
        <w:t>64449.004195/2023-85</w:t>
      </w:r>
      <w:r w:rsidRPr="000D79B8">
        <w:rPr>
          <w:rFonts w:ascii="Times New Roman" w:hAnsi="Times New Roman" w:cs="Times New Roman"/>
        </w:rPr>
        <w:t>)</w:t>
      </w:r>
    </w:p>
    <w:p w14:paraId="054A1CD3" w14:textId="77777777" w:rsidR="00D14701" w:rsidRPr="000D79B8" w:rsidRDefault="00477D65">
      <w:pPr>
        <w:pStyle w:val="Nivel01"/>
        <w:rPr>
          <w:rFonts w:ascii="Times New Roman" w:eastAsia="Arial" w:hAnsi="Times New Roman" w:cs="Times New Roman"/>
          <w:sz w:val="24"/>
          <w:szCs w:val="24"/>
        </w:rPr>
      </w:pPr>
      <w:r w:rsidRPr="000D79B8">
        <w:rPr>
          <w:rFonts w:ascii="Times New Roman" w:hAnsi="Times New Roman" w:cs="Times New Roman"/>
          <w:sz w:val="24"/>
          <w:szCs w:val="24"/>
        </w:rPr>
        <w:t>CONDIÇÕES GERAIS DA CONTRATAÇÃO</w:t>
      </w:r>
    </w:p>
    <w:p w14:paraId="07406DA6" w14:textId="77777777" w:rsidR="00D14701" w:rsidRPr="000D79B8" w:rsidRDefault="00477D65">
      <w:pPr>
        <w:pStyle w:val="Nivel2"/>
        <w:rPr>
          <w:rFonts w:ascii="Times New Roman" w:hAnsi="Times New Roman" w:cs="Times New Roman"/>
          <w:b/>
          <w:bCs/>
          <w:sz w:val="24"/>
          <w:szCs w:val="24"/>
          <w:highlight w:val="white"/>
        </w:rPr>
      </w:pPr>
      <w:commentRangeStart w:id="0"/>
      <w:r w:rsidRPr="000D79B8">
        <w:rPr>
          <w:rFonts w:ascii="Times New Roman" w:hAnsi="Times New Roman" w:cs="Times New Roman"/>
          <w:sz w:val="24"/>
          <w:szCs w:val="24"/>
          <w:highlight w:val="white"/>
        </w:rPr>
        <w:t>Aquisição de equipamentos de inspeção (scanner) de radiação ionizante para inspecionar bagagens, malas, pacotes, embalagens e outros volumes</w:t>
      </w:r>
      <w:r w:rsidRPr="000D79B8">
        <w:rPr>
          <w:rFonts w:ascii="Times New Roman" w:hAnsi="Times New Roman" w:cs="Times New Roman"/>
          <w:b/>
          <w:bCs/>
          <w:sz w:val="24"/>
          <w:szCs w:val="24"/>
          <w:highlight w:val="white"/>
        </w:rPr>
        <w:t>,</w:t>
      </w:r>
      <w:r w:rsidRPr="000D79B8">
        <w:rPr>
          <w:rFonts w:ascii="Times New Roman" w:hAnsi="Times New Roman" w:cs="Times New Roman"/>
          <w:sz w:val="24"/>
          <w:szCs w:val="24"/>
          <w:highlight w:val="white"/>
        </w:rPr>
        <w:t xml:space="preserve"> nos termos da tabela abaixo, conforme condições e exigências estabelecidas neste instrumento.</w:t>
      </w:r>
      <w:commentRangeEnd w:id="0"/>
      <w:r w:rsidRPr="000D79B8">
        <w:rPr>
          <w:rFonts w:ascii="Times New Roman" w:hAnsi="Times New Roman" w:cs="Times New Roman"/>
          <w:sz w:val="24"/>
          <w:szCs w:val="24"/>
        </w:rPr>
        <w:commentReference w:id="0"/>
      </w:r>
    </w:p>
    <w:p w14:paraId="25FA52BC" w14:textId="1C49D18B" w:rsidR="006B39C5" w:rsidRPr="000D79B8" w:rsidRDefault="006B39C5" w:rsidP="006B39C5">
      <w:pPr>
        <w:pStyle w:val="Nivel2"/>
        <w:rPr>
          <w:rFonts w:ascii="Times New Roman" w:hAnsi="Times New Roman" w:cs="Times New Roman"/>
          <w:b/>
          <w:bCs/>
          <w:sz w:val="24"/>
          <w:szCs w:val="24"/>
          <w:highlight w:val="white"/>
        </w:rPr>
      </w:pPr>
      <w:r w:rsidRPr="000D79B8">
        <w:rPr>
          <w:rStyle w:val="fontstyle01"/>
          <w:rFonts w:ascii="Times New Roman" w:hAnsi="Times New Roman" w:cs="Times New Roman"/>
          <w:sz w:val="24"/>
          <w:szCs w:val="24"/>
        </w:rPr>
        <w:t>A tabela abaixo refere-se a estimativa do órgão gerenciador somada a estimativa dos órgãos participantes: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4"/>
        <w:gridCol w:w="663"/>
        <w:gridCol w:w="2030"/>
        <w:gridCol w:w="1015"/>
        <w:gridCol w:w="901"/>
        <w:gridCol w:w="927"/>
        <w:gridCol w:w="901"/>
        <w:gridCol w:w="1130"/>
        <w:gridCol w:w="1267"/>
      </w:tblGrid>
      <w:tr w:rsidR="00B920B0" w:rsidRPr="00B920B0" w14:paraId="062E47AA" w14:textId="77777777" w:rsidTr="00A8678C">
        <w:trPr>
          <w:trHeight w:val="1193"/>
        </w:trPr>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A0324" w14:textId="77777777" w:rsidR="00B920B0" w:rsidRPr="00B920B0" w:rsidRDefault="00B920B0" w:rsidP="00DD0CBA">
            <w:pPr>
              <w:rPr>
                <w:rFonts w:ascii="Times New Roman" w:eastAsia="Arial" w:hAnsi="Times New Roman" w:cs="Times New Roman"/>
                <w:b/>
                <w:color w:val="000000"/>
                <w:sz w:val="16"/>
                <w:szCs w:val="16"/>
              </w:rPr>
            </w:pPr>
            <w:r w:rsidRPr="00B920B0">
              <w:rPr>
                <w:rFonts w:ascii="Times New Roman" w:eastAsia="Arial" w:hAnsi="Times New Roman" w:cs="Times New Roman"/>
                <w:b/>
                <w:color w:val="000000" w:themeColor="text1"/>
                <w:sz w:val="16"/>
                <w:szCs w:val="16"/>
              </w:rPr>
              <w:t>GRUPO</w:t>
            </w:r>
          </w:p>
        </w:t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779E3"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color w:val="000000" w:themeColor="text1"/>
                <w:sz w:val="16"/>
                <w:szCs w:val="16"/>
              </w:rPr>
            </w:pPr>
          </w:p>
          <w:p w14:paraId="05ABB796"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color w:val="000000"/>
                <w:sz w:val="16"/>
                <w:szCs w:val="16"/>
              </w:rPr>
            </w:pPr>
            <w:r w:rsidRPr="00B920B0">
              <w:rPr>
                <w:rFonts w:ascii="Times New Roman" w:eastAsia="Arial" w:hAnsi="Times New Roman" w:cs="Times New Roman"/>
                <w:b/>
                <w:bCs/>
                <w:color w:val="000000" w:themeColor="text1"/>
                <w:sz w:val="16"/>
                <w:szCs w:val="16"/>
              </w:rPr>
              <w:t>ITEM</w:t>
            </w:r>
          </w:p>
          <w:p w14:paraId="27AE98DC"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color w:val="000000"/>
                <w:sz w:val="16"/>
                <w:szCs w:val="16"/>
              </w:rPr>
            </w:pPr>
          </w:p>
        </w:tc>
        <w:tc>
          <w:tcPr>
            <w:tcW w:w="10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AFF91" w14:textId="77777777" w:rsidR="00B920B0" w:rsidRPr="00B920B0" w:rsidRDefault="00B920B0" w:rsidP="00DD0CBA">
            <w:pPr>
              <w:widowControl w:val="0"/>
              <w:spacing w:before="120" w:after="288" w:line="312" w:lineRule="auto"/>
              <w:jc w:val="center"/>
              <w:rPr>
                <w:rFonts w:ascii="Times New Roman" w:eastAsia="Arial" w:hAnsi="Times New Roman" w:cs="Times New Roman"/>
                <w:color w:val="000000"/>
                <w:sz w:val="16"/>
                <w:szCs w:val="16"/>
              </w:rPr>
            </w:pPr>
            <w:r w:rsidRPr="00B920B0">
              <w:rPr>
                <w:rFonts w:ascii="Times New Roman" w:eastAsia="Arial" w:hAnsi="Times New Roman" w:cs="Times New Roman"/>
                <w:b/>
                <w:bCs/>
                <w:color w:val="000000" w:themeColor="text1"/>
                <w:sz w:val="16"/>
                <w:szCs w:val="16"/>
              </w:rPr>
              <w:t>ESPECIFICAÇÃO</w:t>
            </w:r>
          </w:p>
        </w:tc>
        <w:tc>
          <w:tcPr>
            <w:tcW w:w="5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9B611A" w14:textId="77777777" w:rsidR="00B920B0" w:rsidRPr="00B920B0" w:rsidRDefault="00B920B0" w:rsidP="00DD0CBA">
            <w:pPr>
              <w:widowControl w:val="0"/>
              <w:spacing w:before="120" w:after="288" w:line="312" w:lineRule="auto"/>
              <w:jc w:val="center"/>
              <w:rPr>
                <w:rFonts w:ascii="Times New Roman" w:eastAsia="Arial" w:hAnsi="Times New Roman" w:cs="Times New Roman"/>
                <w:color w:val="000000"/>
                <w:sz w:val="16"/>
                <w:szCs w:val="16"/>
              </w:rPr>
            </w:pPr>
            <w:r w:rsidRPr="00B920B0">
              <w:rPr>
                <w:rFonts w:ascii="Times New Roman" w:eastAsia="Arial" w:hAnsi="Times New Roman" w:cs="Times New Roman"/>
                <w:b/>
                <w:bCs/>
                <w:color w:val="000000" w:themeColor="text1"/>
                <w:sz w:val="16"/>
                <w:szCs w:val="16"/>
              </w:rPr>
              <w:t>UNIDADE DE MEDIDA</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64C18"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sz w:val="4"/>
                <w:szCs w:val="4"/>
              </w:rPr>
            </w:pPr>
          </w:p>
          <w:p w14:paraId="181C4062" w14:textId="77981BFA" w:rsidR="00B920B0" w:rsidRP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QTD</w:t>
            </w:r>
          </w:p>
          <w:p w14:paraId="15B70CC1" w14:textId="4ED892CB" w:rsidR="00B920B0" w:rsidRP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MÍNIMA</w:t>
            </w:r>
          </w:p>
        </w:tc>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431D2"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sz w:val="4"/>
                <w:szCs w:val="4"/>
              </w:rPr>
            </w:pPr>
          </w:p>
          <w:p w14:paraId="3E397F93" w14:textId="3EDFF0C3" w:rsid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 xml:space="preserve">QTD </w:t>
            </w:r>
          </w:p>
          <w:p w14:paraId="63B5B2D3" w14:textId="154CCBF7" w:rsidR="00B920B0" w:rsidRP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MÁXIMA</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58603"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 xml:space="preserve">QTD </w:t>
            </w:r>
          </w:p>
          <w:p w14:paraId="2FE8ED00" w14:textId="220F5430" w:rsidR="00B920B0" w:rsidRP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TOTAL</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8E894"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VALOR UNITÁRIO</w:t>
            </w:r>
          </w:p>
        </w:tc>
        <w:tc>
          <w:tcPr>
            <w:tcW w:w="6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5F257F"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sz w:val="16"/>
                <w:szCs w:val="16"/>
              </w:rPr>
            </w:pPr>
            <w:r w:rsidRPr="00B920B0">
              <w:rPr>
                <w:rFonts w:ascii="Times New Roman" w:eastAsia="Arial" w:hAnsi="Times New Roman" w:cs="Times New Roman"/>
                <w:b/>
                <w:bCs/>
                <w:sz w:val="16"/>
                <w:szCs w:val="16"/>
              </w:rPr>
              <w:t>VALOR TOTAL</w:t>
            </w:r>
          </w:p>
        </w:tc>
      </w:tr>
      <w:tr w:rsidR="00B920B0" w:rsidRPr="00B920B0" w14:paraId="5F3ECD97" w14:textId="77777777" w:rsidTr="00A8678C">
        <w:tc>
          <w:tcPr>
            <w:tcW w:w="41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00605" w14:textId="77777777" w:rsidR="00B920B0" w:rsidRPr="00B920B0" w:rsidRDefault="00B920B0" w:rsidP="00DD0CBA">
            <w:pPr>
              <w:jc w:val="center"/>
              <w:rPr>
                <w:rFonts w:ascii="Times New Roman" w:eastAsia="Arial" w:hAnsi="Times New Roman" w:cs="Times New Roman"/>
                <w:b/>
                <w:color w:val="000000"/>
                <w:sz w:val="20"/>
                <w:szCs w:val="20"/>
              </w:rPr>
            </w:pPr>
            <w:r w:rsidRPr="00B920B0">
              <w:rPr>
                <w:rFonts w:ascii="Times New Roman" w:eastAsia="Arial" w:hAnsi="Times New Roman" w:cs="Times New Roman"/>
                <w:b/>
                <w:color w:val="000000" w:themeColor="text1"/>
                <w:sz w:val="20"/>
                <w:szCs w:val="20"/>
              </w:rPr>
              <w:t>1</w:t>
            </w:r>
          </w:p>
          <w:p w14:paraId="2273CFAD" w14:textId="77777777" w:rsidR="00B920B0" w:rsidRPr="00B920B0" w:rsidRDefault="00B920B0" w:rsidP="00DD0CBA">
            <w:pPr>
              <w:jc w:val="center"/>
              <w:rPr>
                <w:rFonts w:ascii="Times New Roman" w:eastAsia="Arial" w:hAnsi="Times New Roman" w:cs="Times New Roman"/>
                <w:b/>
                <w:color w:val="000000"/>
                <w:sz w:val="20"/>
                <w:szCs w:val="20"/>
              </w:rPr>
            </w:pPr>
          </w:p>
        </w:t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2DBDD"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color w:val="000000"/>
                <w:sz w:val="20"/>
                <w:szCs w:val="20"/>
              </w:rPr>
            </w:pPr>
            <w:r w:rsidRPr="00B920B0">
              <w:rPr>
                <w:rFonts w:ascii="Times New Roman" w:eastAsia="Arial" w:hAnsi="Times New Roman" w:cs="Times New Roman"/>
                <w:b/>
                <w:bCs/>
                <w:color w:val="000000" w:themeColor="text1"/>
                <w:sz w:val="20"/>
                <w:szCs w:val="20"/>
              </w:rPr>
              <w:t>1</w:t>
            </w:r>
          </w:p>
        </w:tc>
        <w:tc>
          <w:tcPr>
            <w:tcW w:w="10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99A15" w14:textId="77777777" w:rsidR="00B920B0" w:rsidRPr="00B920B0" w:rsidRDefault="00B920B0" w:rsidP="00DD0CBA">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r w:rsidRPr="00B920B0">
              <w:rPr>
                <w:rFonts w:ascii="Times New Roman" w:eastAsia="Calibri" w:hAnsi="Times New Roman" w:cs="Times New Roman"/>
                <w:color w:val="000000"/>
                <w:sz w:val="20"/>
                <w:szCs w:val="20"/>
              </w:rPr>
              <w:t xml:space="preserve">SCANNER DE DETECÇÃO DE MATERIAS </w:t>
            </w:r>
          </w:p>
          <w:p w14:paraId="40647D47" w14:textId="77777777" w:rsidR="00B920B0" w:rsidRPr="00B920B0" w:rsidRDefault="00B920B0" w:rsidP="00DD0CBA">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color w:val="000000"/>
                <w:sz w:val="20"/>
                <w:szCs w:val="20"/>
              </w:rPr>
            </w:pPr>
            <w:proofErr w:type="gramStart"/>
            <w:r w:rsidRPr="00B920B0">
              <w:rPr>
                <w:rFonts w:ascii="Times New Roman" w:eastAsia="Calibri" w:hAnsi="Times New Roman" w:cs="Times New Roman"/>
                <w:color w:val="000000"/>
                <w:sz w:val="20"/>
                <w:szCs w:val="20"/>
              </w:rPr>
              <w:t>COM  INTELIGÊNCIA</w:t>
            </w:r>
            <w:proofErr w:type="gramEnd"/>
            <w:r w:rsidRPr="00B920B0">
              <w:rPr>
                <w:rFonts w:ascii="Times New Roman" w:eastAsia="Calibri" w:hAnsi="Times New Roman" w:cs="Times New Roman"/>
                <w:color w:val="000000"/>
                <w:sz w:val="20"/>
                <w:szCs w:val="20"/>
              </w:rPr>
              <w:t xml:space="preserve"> ARTIFICIAL PARA IDENTIFICAÇÃO DE ARMAMENTO E MUNIÇÃO,  MESAS DE ROLETE DE 3,00 MTS, NO BREAK E DOIS MONITORES </w:t>
            </w:r>
          </w:p>
          <w:p w14:paraId="46C8E794" w14:textId="77777777" w:rsidR="00B920B0" w:rsidRPr="00B920B0" w:rsidRDefault="00B920B0" w:rsidP="00DD0CBA">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p>
        </w:tc>
        <w:tc>
          <w:tcPr>
            <w:tcW w:w="5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8EB57" w14:textId="77777777" w:rsidR="00B920B0" w:rsidRPr="00B920B0" w:rsidRDefault="00B920B0" w:rsidP="00DD0CBA">
            <w:pPr>
              <w:widowControl w:val="0"/>
              <w:spacing w:before="120" w:after="288" w:line="312" w:lineRule="auto"/>
              <w:jc w:val="center"/>
              <w:rPr>
                <w:rFonts w:ascii="Times New Roman" w:eastAsia="Arial" w:hAnsi="Times New Roman" w:cs="Times New Roman"/>
                <w:color w:val="000000"/>
                <w:sz w:val="20"/>
                <w:szCs w:val="20"/>
              </w:rPr>
            </w:pPr>
            <w:r w:rsidRPr="00B920B0">
              <w:rPr>
                <w:rFonts w:ascii="Times New Roman" w:eastAsia="Arial" w:hAnsi="Times New Roman" w:cs="Times New Roman"/>
                <w:color w:val="000000"/>
                <w:sz w:val="20"/>
                <w:szCs w:val="20"/>
              </w:rPr>
              <w:t>Unidade</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38B6B" w14:textId="77777777" w:rsidR="00B920B0" w:rsidRDefault="00B920B0" w:rsidP="00DD0CBA">
            <w:pPr>
              <w:widowControl w:val="0"/>
              <w:spacing w:before="120" w:after="288" w:line="312" w:lineRule="auto"/>
              <w:jc w:val="center"/>
              <w:rPr>
                <w:rFonts w:ascii="Times New Roman" w:eastAsia="Arial" w:hAnsi="Times New Roman" w:cs="Times New Roman"/>
                <w:sz w:val="20"/>
                <w:szCs w:val="20"/>
              </w:rPr>
            </w:pPr>
          </w:p>
          <w:p w14:paraId="7A42FDB6" w14:textId="77777777" w:rsidR="004774B3" w:rsidRDefault="004774B3" w:rsidP="00DD0CBA">
            <w:pPr>
              <w:widowControl w:val="0"/>
              <w:spacing w:before="120" w:after="288" w:line="312" w:lineRule="auto"/>
              <w:jc w:val="center"/>
              <w:rPr>
                <w:rFonts w:ascii="Times New Roman" w:eastAsia="Arial" w:hAnsi="Times New Roman" w:cs="Times New Roman"/>
                <w:sz w:val="20"/>
                <w:szCs w:val="20"/>
              </w:rPr>
            </w:pPr>
          </w:p>
          <w:p w14:paraId="260DB62A" w14:textId="38361A2C" w:rsidR="004774B3" w:rsidRDefault="004774B3" w:rsidP="00DD0CBA">
            <w:pPr>
              <w:widowControl w:val="0"/>
              <w:spacing w:before="120" w:after="288" w:line="312"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p w14:paraId="4F02B867" w14:textId="77777777" w:rsidR="004774B3" w:rsidRPr="00B920B0" w:rsidRDefault="004774B3" w:rsidP="00DD0CBA">
            <w:pPr>
              <w:widowControl w:val="0"/>
              <w:spacing w:before="120" w:after="288" w:line="312" w:lineRule="auto"/>
              <w:jc w:val="center"/>
              <w:rPr>
                <w:rFonts w:ascii="Times New Roman" w:eastAsia="Arial" w:hAnsi="Times New Roman" w:cs="Times New Roman"/>
                <w:sz w:val="20"/>
                <w:szCs w:val="20"/>
              </w:rPr>
            </w:pPr>
          </w:p>
        </w:tc>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4AD37" w14:textId="77777777" w:rsidR="00B920B0" w:rsidRDefault="00B920B0" w:rsidP="00DD0CBA">
            <w:pPr>
              <w:widowControl w:val="0"/>
              <w:spacing w:before="120" w:after="288" w:line="312" w:lineRule="auto"/>
              <w:jc w:val="center"/>
              <w:rPr>
                <w:rFonts w:ascii="Times New Roman" w:eastAsia="Arial" w:hAnsi="Times New Roman" w:cs="Times New Roman"/>
                <w:sz w:val="20"/>
                <w:szCs w:val="20"/>
              </w:rPr>
            </w:pPr>
          </w:p>
          <w:p w14:paraId="65ADBB4F" w14:textId="77777777" w:rsidR="004774B3" w:rsidRDefault="004774B3" w:rsidP="00DD0CBA">
            <w:pPr>
              <w:widowControl w:val="0"/>
              <w:spacing w:before="120" w:after="288" w:line="312" w:lineRule="auto"/>
              <w:jc w:val="center"/>
              <w:rPr>
                <w:rFonts w:ascii="Times New Roman" w:eastAsia="Arial" w:hAnsi="Times New Roman" w:cs="Times New Roman"/>
                <w:sz w:val="20"/>
                <w:szCs w:val="20"/>
              </w:rPr>
            </w:pPr>
          </w:p>
          <w:p w14:paraId="54DB9763" w14:textId="54F7B3D8" w:rsidR="004774B3" w:rsidRPr="00B920B0" w:rsidRDefault="004774B3" w:rsidP="00DD0CBA">
            <w:pPr>
              <w:widowControl w:val="0"/>
              <w:spacing w:before="120" w:after="288" w:line="312"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4</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4E582E" w14:textId="03F34301" w:rsidR="00B920B0" w:rsidRPr="00B920B0" w:rsidRDefault="00B920B0" w:rsidP="00DD0CBA">
            <w:pPr>
              <w:widowControl w:val="0"/>
              <w:spacing w:before="120" w:after="288" w:line="312" w:lineRule="auto"/>
              <w:jc w:val="center"/>
              <w:rPr>
                <w:rFonts w:ascii="Times New Roman" w:eastAsia="Arial" w:hAnsi="Times New Roman" w:cs="Times New Roman"/>
                <w:sz w:val="20"/>
                <w:szCs w:val="20"/>
              </w:rPr>
            </w:pPr>
            <w:r w:rsidRPr="00B920B0">
              <w:rPr>
                <w:rFonts w:ascii="Times New Roman" w:eastAsia="Arial" w:hAnsi="Times New Roman" w:cs="Times New Roman"/>
                <w:sz w:val="20"/>
                <w:szCs w:val="20"/>
              </w:rPr>
              <w:t>4</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9ACF7" w14:textId="77777777" w:rsidR="00B920B0" w:rsidRPr="00B920B0" w:rsidRDefault="00B920B0" w:rsidP="00DD0CBA">
            <w:pPr>
              <w:pStyle w:val="NormalWeb"/>
              <w:spacing w:before="0" w:beforeAutospacing="0" w:after="0" w:afterAutospacing="0"/>
              <w:jc w:val="center"/>
              <w:rPr>
                <w:sz w:val="20"/>
                <w:szCs w:val="20"/>
              </w:rPr>
            </w:pPr>
          </w:p>
          <w:p w14:paraId="6ADADA66" w14:textId="77777777" w:rsidR="00B920B0" w:rsidRPr="00B920B0" w:rsidRDefault="00B920B0" w:rsidP="00DD0CBA">
            <w:pPr>
              <w:pStyle w:val="NormalWeb"/>
              <w:spacing w:before="0" w:beforeAutospacing="0" w:after="0" w:afterAutospacing="0"/>
              <w:jc w:val="center"/>
              <w:rPr>
                <w:color w:val="000000"/>
                <w:sz w:val="20"/>
                <w:szCs w:val="20"/>
              </w:rPr>
            </w:pPr>
          </w:p>
          <w:p w14:paraId="68F96394" w14:textId="77777777" w:rsidR="00B920B0" w:rsidRPr="00B920B0" w:rsidRDefault="00B920B0" w:rsidP="00DD0CBA">
            <w:pPr>
              <w:pStyle w:val="NormalWeb"/>
              <w:spacing w:before="0" w:beforeAutospacing="0" w:after="0" w:afterAutospacing="0"/>
              <w:jc w:val="center"/>
              <w:rPr>
                <w:color w:val="000000"/>
                <w:sz w:val="20"/>
                <w:szCs w:val="20"/>
              </w:rPr>
            </w:pPr>
          </w:p>
          <w:p w14:paraId="426E0D97" w14:textId="77777777" w:rsidR="00B920B0" w:rsidRPr="00B920B0" w:rsidRDefault="00B920B0" w:rsidP="00DD0CBA">
            <w:pPr>
              <w:pStyle w:val="NormalWeb"/>
              <w:spacing w:before="0" w:beforeAutospacing="0" w:after="0" w:afterAutospacing="0"/>
              <w:jc w:val="center"/>
              <w:rPr>
                <w:color w:val="000000"/>
                <w:sz w:val="20"/>
                <w:szCs w:val="20"/>
              </w:rPr>
            </w:pPr>
            <w:r w:rsidRPr="00B920B0">
              <w:rPr>
                <w:color w:val="000000"/>
                <w:sz w:val="20"/>
                <w:szCs w:val="20"/>
              </w:rPr>
              <w:t>R$ 153.300,00</w:t>
            </w:r>
          </w:p>
          <w:p w14:paraId="130C381E" w14:textId="77777777" w:rsidR="00B920B0" w:rsidRPr="00B920B0" w:rsidRDefault="00B920B0" w:rsidP="00DD0CBA">
            <w:pPr>
              <w:widowControl w:val="0"/>
              <w:spacing w:before="120" w:after="288" w:line="312" w:lineRule="auto"/>
              <w:rPr>
                <w:rFonts w:ascii="Times New Roman" w:eastAsia="Arial" w:hAnsi="Times New Roman" w:cs="Times New Roman"/>
                <w:color w:val="000000"/>
                <w:sz w:val="20"/>
                <w:szCs w:val="20"/>
              </w:rPr>
            </w:pPr>
          </w:p>
        </w:tc>
        <w:tc>
          <w:tcPr>
            <w:tcW w:w="6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19DB4" w14:textId="77777777" w:rsidR="00B920B0" w:rsidRPr="00B920B0" w:rsidRDefault="00B920B0" w:rsidP="00DD0CBA">
            <w:pPr>
              <w:pStyle w:val="NormalWeb"/>
              <w:spacing w:before="0" w:beforeAutospacing="0" w:after="0" w:afterAutospacing="0"/>
              <w:jc w:val="center"/>
              <w:rPr>
                <w:sz w:val="20"/>
                <w:szCs w:val="20"/>
              </w:rPr>
            </w:pPr>
          </w:p>
          <w:p w14:paraId="429BF52E" w14:textId="77777777" w:rsidR="00B920B0" w:rsidRPr="00B920B0" w:rsidRDefault="00B920B0" w:rsidP="00DD0CBA">
            <w:pPr>
              <w:pStyle w:val="NormalWeb"/>
              <w:spacing w:before="0" w:beforeAutospacing="0" w:after="0" w:afterAutospacing="0"/>
              <w:jc w:val="center"/>
              <w:rPr>
                <w:color w:val="000000"/>
                <w:sz w:val="20"/>
                <w:szCs w:val="20"/>
              </w:rPr>
            </w:pPr>
          </w:p>
          <w:p w14:paraId="1C68C3CB" w14:textId="77777777" w:rsidR="00B920B0" w:rsidRPr="00B920B0" w:rsidRDefault="00B920B0" w:rsidP="00DD0CBA">
            <w:pPr>
              <w:pStyle w:val="NormalWeb"/>
              <w:spacing w:before="0" w:beforeAutospacing="0" w:after="0" w:afterAutospacing="0"/>
              <w:jc w:val="center"/>
              <w:rPr>
                <w:color w:val="000000"/>
                <w:sz w:val="20"/>
                <w:szCs w:val="20"/>
              </w:rPr>
            </w:pPr>
          </w:p>
          <w:p w14:paraId="7A2BF46C" w14:textId="77777777" w:rsidR="00B920B0" w:rsidRPr="00B920B0" w:rsidRDefault="00B920B0" w:rsidP="00DD0CBA">
            <w:pPr>
              <w:pStyle w:val="NormalWeb"/>
              <w:spacing w:before="0" w:beforeAutospacing="0" w:after="0" w:afterAutospacing="0"/>
              <w:jc w:val="center"/>
              <w:rPr>
                <w:color w:val="000000"/>
                <w:sz w:val="20"/>
                <w:szCs w:val="20"/>
              </w:rPr>
            </w:pPr>
          </w:p>
          <w:p w14:paraId="034CBD7D" w14:textId="3ECEDAE5" w:rsidR="00B920B0" w:rsidRPr="00B920B0" w:rsidRDefault="00B920B0" w:rsidP="00DD0CBA">
            <w:pPr>
              <w:pStyle w:val="NormalWeb"/>
              <w:spacing w:before="0" w:beforeAutospacing="0" w:after="0" w:afterAutospacing="0"/>
              <w:jc w:val="center"/>
              <w:rPr>
                <w:color w:val="000000"/>
                <w:sz w:val="20"/>
                <w:szCs w:val="20"/>
              </w:rPr>
            </w:pPr>
            <w:r w:rsidRPr="00B920B0">
              <w:rPr>
                <w:color w:val="000000"/>
                <w:sz w:val="20"/>
                <w:szCs w:val="20"/>
              </w:rPr>
              <w:t>R$ 613.200,00</w:t>
            </w:r>
          </w:p>
          <w:p w14:paraId="320E0767" w14:textId="77777777" w:rsidR="00B920B0" w:rsidRPr="00B920B0" w:rsidRDefault="00B920B0" w:rsidP="00DD0CBA">
            <w:pPr>
              <w:widowControl w:val="0"/>
              <w:spacing w:before="120" w:after="288" w:line="312" w:lineRule="auto"/>
              <w:rPr>
                <w:rFonts w:ascii="Times New Roman" w:eastAsia="Arial" w:hAnsi="Times New Roman" w:cs="Times New Roman"/>
                <w:color w:val="000000"/>
                <w:sz w:val="20"/>
                <w:szCs w:val="20"/>
              </w:rPr>
            </w:pPr>
          </w:p>
        </w:tc>
      </w:tr>
      <w:tr w:rsidR="00B920B0" w:rsidRPr="00B920B0" w14:paraId="63BFCB38" w14:textId="77777777" w:rsidTr="00A8678C">
        <w:tc>
          <w:tcPr>
            <w:tcW w:w="41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1FC2A" w14:textId="77777777" w:rsidR="00B920B0" w:rsidRPr="00B920B0" w:rsidRDefault="00B920B0" w:rsidP="00DD0CBA">
            <w:pPr>
              <w:rPr>
                <w:rFonts w:ascii="Times New Roman" w:hAnsi="Times New Roman" w:cs="Times New Roman"/>
                <w:sz w:val="20"/>
                <w:szCs w:val="20"/>
              </w:rPr>
            </w:pPr>
          </w:p>
        </w:t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396B9"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color w:val="000000"/>
                <w:sz w:val="20"/>
                <w:szCs w:val="20"/>
              </w:rPr>
            </w:pPr>
            <w:r w:rsidRPr="00B920B0">
              <w:rPr>
                <w:rFonts w:ascii="Times New Roman" w:eastAsia="Arial" w:hAnsi="Times New Roman" w:cs="Times New Roman"/>
                <w:b/>
                <w:bCs/>
                <w:color w:val="000000" w:themeColor="text1"/>
                <w:sz w:val="20"/>
                <w:szCs w:val="20"/>
              </w:rPr>
              <w:t>2</w:t>
            </w:r>
          </w:p>
        </w:tc>
        <w:tc>
          <w:tcPr>
            <w:tcW w:w="10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A0B46" w14:textId="77777777" w:rsidR="00B920B0" w:rsidRPr="00B920B0" w:rsidRDefault="00B920B0" w:rsidP="00DD0CBA">
            <w:pPr>
              <w:pStyle w:val="NormalWeb"/>
              <w:spacing w:before="0" w:beforeAutospacing="0" w:after="0" w:afterAutospacing="0"/>
              <w:jc w:val="both"/>
              <w:rPr>
                <w:rFonts w:eastAsia="Calibri"/>
                <w:color w:val="000000"/>
                <w:sz w:val="20"/>
                <w:szCs w:val="20"/>
              </w:rPr>
            </w:pPr>
            <w:r w:rsidRPr="00B920B0">
              <w:rPr>
                <w:rFonts w:eastAsia="Calibri"/>
                <w:color w:val="000000"/>
                <w:sz w:val="20"/>
                <w:szCs w:val="20"/>
              </w:rPr>
              <w:t>PORTAL DE DETECTOR DE METAL SIMILAR AO MODELOS GARRET PD65001</w:t>
            </w:r>
          </w:p>
        </w:tc>
        <w:tc>
          <w:tcPr>
            <w:tcW w:w="5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F74FE" w14:textId="77777777" w:rsidR="00B920B0" w:rsidRPr="00B920B0" w:rsidRDefault="00B920B0" w:rsidP="00DD0CBA">
            <w:pPr>
              <w:widowControl w:val="0"/>
              <w:spacing w:before="120" w:after="288" w:line="312" w:lineRule="auto"/>
              <w:jc w:val="center"/>
              <w:rPr>
                <w:rFonts w:ascii="Times New Roman" w:eastAsia="Arial" w:hAnsi="Times New Roman" w:cs="Times New Roman"/>
                <w:color w:val="000000"/>
                <w:sz w:val="20"/>
                <w:szCs w:val="20"/>
              </w:rPr>
            </w:pPr>
            <w:r w:rsidRPr="00B920B0">
              <w:rPr>
                <w:rFonts w:ascii="Times New Roman" w:eastAsia="Arial" w:hAnsi="Times New Roman" w:cs="Times New Roman"/>
                <w:color w:val="000000"/>
                <w:sz w:val="20"/>
                <w:szCs w:val="20"/>
              </w:rPr>
              <w:t>Unidade</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9CA98" w14:textId="682E103E" w:rsidR="00B920B0" w:rsidRDefault="004774B3" w:rsidP="00DD0CBA">
            <w:pPr>
              <w:widowControl w:val="0"/>
              <w:spacing w:before="120" w:after="288" w:line="312"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p w14:paraId="7930BE07" w14:textId="77777777" w:rsidR="004774B3" w:rsidRPr="00B920B0" w:rsidRDefault="004774B3" w:rsidP="00DD0CBA">
            <w:pPr>
              <w:widowControl w:val="0"/>
              <w:spacing w:before="120" w:after="288" w:line="312" w:lineRule="auto"/>
              <w:jc w:val="center"/>
              <w:rPr>
                <w:rFonts w:ascii="Times New Roman" w:eastAsia="Arial" w:hAnsi="Times New Roman" w:cs="Times New Roman"/>
                <w:sz w:val="20"/>
                <w:szCs w:val="20"/>
              </w:rPr>
            </w:pPr>
          </w:p>
        </w:tc>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4CD0" w14:textId="4A32115C" w:rsidR="00B920B0" w:rsidRPr="00B920B0" w:rsidRDefault="004774B3" w:rsidP="00DD0CBA">
            <w:pPr>
              <w:widowControl w:val="0"/>
              <w:spacing w:before="120" w:after="288" w:line="312" w:lineRule="auto"/>
              <w:jc w:val="center"/>
              <w:rPr>
                <w:rFonts w:ascii="Times New Roman" w:eastAsia="Arial" w:hAnsi="Times New Roman" w:cs="Times New Roman"/>
                <w:sz w:val="20"/>
                <w:szCs w:val="20"/>
              </w:rPr>
            </w:pPr>
            <w:r>
              <w:rPr>
                <w:rFonts w:ascii="Times New Roman" w:eastAsia="Arial" w:hAnsi="Times New Roman" w:cs="Times New Roman"/>
                <w:sz w:val="20"/>
                <w:szCs w:val="20"/>
              </w:rPr>
              <w:lastRenderedPageBreak/>
              <w:t>6</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97F1C9" w14:textId="074B8E1B" w:rsidR="00B920B0" w:rsidRPr="00B920B0" w:rsidRDefault="00B920B0" w:rsidP="00DD0CBA">
            <w:pPr>
              <w:widowControl w:val="0"/>
              <w:spacing w:before="120" w:after="288" w:line="312" w:lineRule="auto"/>
              <w:jc w:val="center"/>
              <w:rPr>
                <w:rFonts w:ascii="Times New Roman" w:eastAsia="Arial" w:hAnsi="Times New Roman" w:cs="Times New Roman"/>
                <w:sz w:val="20"/>
                <w:szCs w:val="20"/>
              </w:rPr>
            </w:pPr>
            <w:r w:rsidRPr="00B920B0">
              <w:rPr>
                <w:rFonts w:ascii="Times New Roman" w:eastAsia="Arial" w:hAnsi="Times New Roman" w:cs="Times New Roman"/>
                <w:sz w:val="20"/>
                <w:szCs w:val="20"/>
              </w:rPr>
              <w:t>6</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894B6" w14:textId="77777777" w:rsidR="00B920B0" w:rsidRPr="00B920B0" w:rsidRDefault="00B920B0" w:rsidP="00DD0CBA">
            <w:pPr>
              <w:pStyle w:val="NormalWeb"/>
              <w:spacing w:before="0" w:beforeAutospacing="0" w:after="0" w:afterAutospacing="0"/>
              <w:jc w:val="center"/>
              <w:rPr>
                <w:color w:val="000000"/>
                <w:sz w:val="20"/>
                <w:szCs w:val="20"/>
              </w:rPr>
            </w:pPr>
          </w:p>
          <w:p w14:paraId="28ED3519" w14:textId="77777777" w:rsidR="00B920B0" w:rsidRPr="00B920B0" w:rsidRDefault="00B920B0" w:rsidP="00DD0CBA">
            <w:pPr>
              <w:pStyle w:val="NormalWeb"/>
              <w:spacing w:before="0" w:beforeAutospacing="0" w:after="0" w:afterAutospacing="0"/>
              <w:jc w:val="center"/>
              <w:rPr>
                <w:color w:val="000000"/>
                <w:sz w:val="20"/>
                <w:szCs w:val="20"/>
              </w:rPr>
            </w:pPr>
          </w:p>
          <w:p w14:paraId="304DAFF9" w14:textId="478CAFFF" w:rsidR="00B920B0" w:rsidRPr="00B920B0" w:rsidRDefault="00B920B0" w:rsidP="00DD0CBA">
            <w:pPr>
              <w:pStyle w:val="NormalWeb"/>
              <w:spacing w:before="0" w:beforeAutospacing="0" w:after="0" w:afterAutospacing="0"/>
              <w:jc w:val="center"/>
              <w:rPr>
                <w:color w:val="000000"/>
                <w:sz w:val="20"/>
                <w:szCs w:val="20"/>
              </w:rPr>
            </w:pPr>
            <w:r w:rsidRPr="00B920B0">
              <w:rPr>
                <w:color w:val="000000"/>
                <w:sz w:val="20"/>
                <w:szCs w:val="20"/>
              </w:rPr>
              <w:t>R$ 55.926,66</w:t>
            </w:r>
          </w:p>
          <w:p w14:paraId="2F64BD99" w14:textId="77777777" w:rsidR="00B920B0" w:rsidRPr="00B920B0" w:rsidRDefault="00B920B0" w:rsidP="00DD0CBA">
            <w:pPr>
              <w:pStyle w:val="NormalWeb"/>
              <w:spacing w:before="0" w:beforeAutospacing="0" w:after="0" w:afterAutospacing="0"/>
              <w:jc w:val="center"/>
              <w:rPr>
                <w:sz w:val="20"/>
                <w:szCs w:val="20"/>
              </w:rPr>
            </w:pPr>
          </w:p>
          <w:p w14:paraId="46CA5DC4" w14:textId="77777777" w:rsidR="00B920B0" w:rsidRPr="00B920B0" w:rsidRDefault="00B920B0" w:rsidP="00DD0CBA">
            <w:pPr>
              <w:widowControl w:val="0"/>
              <w:spacing w:before="120" w:after="288" w:line="312" w:lineRule="auto"/>
              <w:rPr>
                <w:rFonts w:ascii="Times New Roman" w:eastAsia="Arial" w:hAnsi="Times New Roman" w:cs="Times New Roman"/>
                <w:color w:val="000000"/>
                <w:sz w:val="20"/>
                <w:szCs w:val="20"/>
              </w:rPr>
            </w:pPr>
          </w:p>
        </w:tc>
        <w:tc>
          <w:tcPr>
            <w:tcW w:w="6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8897F" w14:textId="77777777" w:rsidR="00B920B0" w:rsidRPr="00B920B0" w:rsidRDefault="00B920B0" w:rsidP="00DD0CBA">
            <w:pPr>
              <w:pStyle w:val="NormalWeb"/>
              <w:spacing w:before="0" w:beforeAutospacing="0" w:after="0" w:afterAutospacing="0"/>
              <w:jc w:val="center"/>
              <w:rPr>
                <w:color w:val="000000"/>
                <w:sz w:val="20"/>
                <w:szCs w:val="20"/>
              </w:rPr>
            </w:pPr>
          </w:p>
          <w:p w14:paraId="5A3EFADC" w14:textId="77777777" w:rsidR="00B920B0" w:rsidRPr="00B920B0" w:rsidRDefault="00B920B0" w:rsidP="00DD0CBA">
            <w:pPr>
              <w:pStyle w:val="NormalWeb"/>
              <w:spacing w:before="0" w:beforeAutospacing="0" w:after="0" w:afterAutospacing="0"/>
              <w:jc w:val="center"/>
              <w:rPr>
                <w:color w:val="000000"/>
                <w:sz w:val="20"/>
                <w:szCs w:val="20"/>
              </w:rPr>
            </w:pPr>
          </w:p>
          <w:p w14:paraId="5C7BF11B" w14:textId="0E75DA28" w:rsidR="00B920B0" w:rsidRPr="00B920B0" w:rsidRDefault="00B920B0" w:rsidP="00DD0CBA">
            <w:pPr>
              <w:pStyle w:val="NormalWeb"/>
              <w:spacing w:before="0" w:beforeAutospacing="0" w:after="0" w:afterAutospacing="0"/>
              <w:jc w:val="center"/>
              <w:rPr>
                <w:sz w:val="20"/>
                <w:szCs w:val="20"/>
              </w:rPr>
            </w:pPr>
            <w:r w:rsidRPr="00B920B0">
              <w:rPr>
                <w:color w:val="000000"/>
                <w:sz w:val="20"/>
                <w:szCs w:val="20"/>
              </w:rPr>
              <w:t>R$ 335.559,96</w:t>
            </w:r>
          </w:p>
          <w:p w14:paraId="19DD8EE6" w14:textId="77777777" w:rsidR="00B920B0" w:rsidRPr="00B920B0" w:rsidRDefault="00B920B0" w:rsidP="00DD0CBA">
            <w:pPr>
              <w:widowControl w:val="0"/>
              <w:spacing w:before="120" w:after="288" w:line="312" w:lineRule="auto"/>
              <w:rPr>
                <w:rFonts w:ascii="Times New Roman" w:eastAsia="Arial" w:hAnsi="Times New Roman" w:cs="Times New Roman"/>
                <w:color w:val="000000"/>
                <w:sz w:val="20"/>
                <w:szCs w:val="20"/>
              </w:rPr>
            </w:pPr>
          </w:p>
        </w:tc>
      </w:tr>
      <w:tr w:rsidR="00B920B0" w:rsidRPr="00B920B0" w14:paraId="2378F63D" w14:textId="77777777" w:rsidTr="00A8678C">
        <w:trPr>
          <w:trHeight w:val="283"/>
        </w:trPr>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40FFD" w14:textId="77777777" w:rsidR="00B920B0" w:rsidRPr="00B920B0" w:rsidRDefault="00B920B0" w:rsidP="00DD0CBA">
            <w:pPr>
              <w:jc w:val="center"/>
              <w:rPr>
                <w:rFonts w:ascii="Times New Roman" w:eastAsia="Arial" w:hAnsi="Times New Roman" w:cs="Times New Roman"/>
                <w:b/>
                <w:color w:val="000000"/>
                <w:sz w:val="20"/>
                <w:szCs w:val="20"/>
              </w:rPr>
            </w:pPr>
            <w:r w:rsidRPr="00B920B0">
              <w:rPr>
                <w:rFonts w:ascii="Times New Roman" w:eastAsia="Arial" w:hAnsi="Times New Roman" w:cs="Times New Roman"/>
                <w:b/>
                <w:color w:val="000000" w:themeColor="text1"/>
                <w:sz w:val="20"/>
                <w:szCs w:val="20"/>
              </w:rPr>
              <w:lastRenderedPageBreak/>
              <w:t>2</w:t>
            </w:r>
          </w:p>
        </w:t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64548" w14:textId="77777777" w:rsidR="00B920B0" w:rsidRPr="00B920B0" w:rsidRDefault="00B920B0" w:rsidP="00DD0CBA">
            <w:pPr>
              <w:widowControl w:val="0"/>
              <w:spacing w:before="120" w:after="288" w:line="312" w:lineRule="auto"/>
              <w:jc w:val="center"/>
              <w:rPr>
                <w:rFonts w:ascii="Times New Roman" w:eastAsia="Arial" w:hAnsi="Times New Roman" w:cs="Times New Roman"/>
                <w:b/>
                <w:bCs/>
                <w:color w:val="000000"/>
                <w:sz w:val="20"/>
                <w:szCs w:val="20"/>
              </w:rPr>
            </w:pPr>
            <w:r w:rsidRPr="00B920B0">
              <w:rPr>
                <w:rFonts w:ascii="Times New Roman" w:eastAsia="Arial" w:hAnsi="Times New Roman" w:cs="Times New Roman"/>
                <w:b/>
                <w:bCs/>
                <w:color w:val="000000" w:themeColor="text1"/>
                <w:sz w:val="20"/>
                <w:szCs w:val="20"/>
              </w:rPr>
              <w:t>3</w:t>
            </w:r>
          </w:p>
        </w:tc>
        <w:tc>
          <w:tcPr>
            <w:tcW w:w="10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A0363" w14:textId="77777777" w:rsidR="00B920B0" w:rsidRPr="00B920B0" w:rsidRDefault="00B920B0" w:rsidP="00483CB6">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color w:val="000000"/>
                <w:sz w:val="20"/>
                <w:szCs w:val="20"/>
              </w:rPr>
            </w:pPr>
            <w:r w:rsidRPr="00B920B0">
              <w:rPr>
                <w:rFonts w:ascii="Times New Roman" w:eastAsia="Calibri" w:hAnsi="Times New Roman" w:cs="Times New Roman"/>
                <w:color w:val="000000"/>
                <w:sz w:val="20"/>
                <w:szCs w:val="20"/>
              </w:rPr>
              <w:t xml:space="preserve">DETECTOR DE METAIS PORTÁTIL COM CARREGADOR E BATERIA </w:t>
            </w:r>
          </w:p>
          <w:p w14:paraId="20FD886A" w14:textId="078CEA96" w:rsidR="00B920B0" w:rsidRPr="00B920B0" w:rsidRDefault="00B920B0" w:rsidP="00483CB6">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p>
        </w:tc>
        <w:tc>
          <w:tcPr>
            <w:tcW w:w="5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714B0" w14:textId="77777777" w:rsidR="00B920B0" w:rsidRPr="00B920B0" w:rsidRDefault="00B920B0" w:rsidP="00DD0CBA">
            <w:pPr>
              <w:widowControl w:val="0"/>
              <w:spacing w:before="120" w:after="288" w:line="312" w:lineRule="auto"/>
              <w:jc w:val="center"/>
              <w:rPr>
                <w:rFonts w:ascii="Times New Roman" w:eastAsia="Arial" w:hAnsi="Times New Roman" w:cs="Times New Roman"/>
                <w:color w:val="000000"/>
                <w:sz w:val="20"/>
                <w:szCs w:val="20"/>
              </w:rPr>
            </w:pPr>
            <w:r w:rsidRPr="00B920B0">
              <w:rPr>
                <w:rFonts w:ascii="Times New Roman" w:eastAsia="Arial" w:hAnsi="Times New Roman" w:cs="Times New Roman"/>
                <w:color w:val="000000"/>
                <w:sz w:val="20"/>
                <w:szCs w:val="20"/>
              </w:rPr>
              <w:t>Unidade</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B2694" w14:textId="77777777" w:rsidR="00B920B0" w:rsidRDefault="00B920B0" w:rsidP="00DD0CBA">
            <w:pPr>
              <w:widowControl w:val="0"/>
              <w:spacing w:before="120" w:after="288" w:line="312" w:lineRule="auto"/>
              <w:jc w:val="center"/>
              <w:rPr>
                <w:rFonts w:ascii="Times New Roman" w:eastAsia="Arial" w:hAnsi="Times New Roman" w:cs="Times New Roman"/>
                <w:sz w:val="20"/>
                <w:szCs w:val="20"/>
              </w:rPr>
            </w:pPr>
          </w:p>
          <w:p w14:paraId="6760E01E" w14:textId="63DC9FE5" w:rsidR="004774B3" w:rsidRPr="00B920B0" w:rsidRDefault="004774B3" w:rsidP="00DD0CBA">
            <w:pPr>
              <w:widowControl w:val="0"/>
              <w:spacing w:before="120" w:after="288" w:line="312"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45546" w14:textId="77777777" w:rsidR="00B920B0" w:rsidRDefault="00B920B0" w:rsidP="00DD0CBA">
            <w:pPr>
              <w:widowControl w:val="0"/>
              <w:spacing w:before="120" w:after="288" w:line="312" w:lineRule="auto"/>
              <w:jc w:val="center"/>
              <w:rPr>
                <w:rFonts w:ascii="Times New Roman" w:eastAsia="Arial" w:hAnsi="Times New Roman" w:cs="Times New Roman"/>
                <w:sz w:val="20"/>
                <w:szCs w:val="20"/>
              </w:rPr>
            </w:pPr>
          </w:p>
          <w:p w14:paraId="1FFFAA9F" w14:textId="49684EAC" w:rsidR="004774B3" w:rsidRPr="00B920B0" w:rsidRDefault="004774B3" w:rsidP="00DD0CBA">
            <w:pPr>
              <w:widowControl w:val="0"/>
              <w:spacing w:before="120" w:after="288" w:line="312"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8</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917708" w14:textId="5F6AD1CE" w:rsidR="00B920B0" w:rsidRPr="00B920B0" w:rsidRDefault="00B920B0" w:rsidP="00DD0CBA">
            <w:pPr>
              <w:widowControl w:val="0"/>
              <w:spacing w:before="120" w:after="288" w:line="312" w:lineRule="auto"/>
              <w:jc w:val="center"/>
              <w:rPr>
                <w:rFonts w:ascii="Times New Roman" w:eastAsia="Arial" w:hAnsi="Times New Roman" w:cs="Times New Roman"/>
                <w:color w:val="FF0000"/>
                <w:sz w:val="20"/>
                <w:szCs w:val="20"/>
              </w:rPr>
            </w:pPr>
            <w:r w:rsidRPr="00B920B0">
              <w:rPr>
                <w:rFonts w:ascii="Times New Roman" w:eastAsia="Arial" w:hAnsi="Times New Roman" w:cs="Times New Roman"/>
                <w:sz w:val="20"/>
                <w:szCs w:val="20"/>
              </w:rPr>
              <w:t>8</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0589A" w14:textId="77777777" w:rsidR="00B920B0" w:rsidRPr="00B920B0" w:rsidRDefault="00B920B0" w:rsidP="00DD0CBA">
            <w:pPr>
              <w:pStyle w:val="NormalWeb"/>
              <w:spacing w:before="0" w:beforeAutospacing="0" w:after="0" w:afterAutospacing="0"/>
              <w:jc w:val="center"/>
              <w:rPr>
                <w:sz w:val="20"/>
                <w:szCs w:val="20"/>
              </w:rPr>
            </w:pPr>
            <w:r w:rsidRPr="00B920B0">
              <w:rPr>
                <w:color w:val="000000"/>
                <w:sz w:val="20"/>
                <w:szCs w:val="20"/>
              </w:rPr>
              <w:t>R$ 3.495,66</w:t>
            </w:r>
          </w:p>
        </w:tc>
        <w:tc>
          <w:tcPr>
            <w:tcW w:w="6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A3FEF5" w14:textId="0D43CC11" w:rsidR="00B920B0" w:rsidRPr="00B920B0" w:rsidRDefault="00B920B0" w:rsidP="00DD0CBA">
            <w:pPr>
              <w:pStyle w:val="NormalWeb"/>
              <w:spacing w:before="0" w:beforeAutospacing="0" w:after="0" w:afterAutospacing="0"/>
              <w:jc w:val="center"/>
              <w:rPr>
                <w:sz w:val="20"/>
                <w:szCs w:val="20"/>
              </w:rPr>
            </w:pPr>
            <w:r w:rsidRPr="00B920B0">
              <w:rPr>
                <w:color w:val="000000"/>
                <w:sz w:val="20"/>
                <w:szCs w:val="20"/>
              </w:rPr>
              <w:t>R$ 27.965,28</w:t>
            </w:r>
          </w:p>
        </w:tc>
      </w:tr>
      <w:tr w:rsidR="00A8678C" w:rsidRPr="00B920B0" w14:paraId="1B4B7CCD" w14:textId="77777777" w:rsidTr="00A8678C">
        <w:trPr>
          <w:trHeight w:val="283"/>
        </w:trPr>
        <w:tc>
          <w:tcPr>
            <w:tcW w:w="4342"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DDBE1" w14:textId="77777777" w:rsidR="00A8678C" w:rsidRDefault="00A8678C" w:rsidP="00DD0CBA">
            <w:pPr>
              <w:pStyle w:val="NormalWeb"/>
              <w:spacing w:before="0" w:beforeAutospacing="0" w:after="0" w:afterAutospacing="0"/>
              <w:jc w:val="center"/>
              <w:rPr>
                <w:b/>
                <w:bCs/>
                <w:color w:val="000000"/>
                <w:sz w:val="20"/>
                <w:szCs w:val="20"/>
              </w:rPr>
            </w:pPr>
          </w:p>
          <w:p w14:paraId="728B581A" w14:textId="189AD519" w:rsidR="00A8678C" w:rsidRPr="00B920B0" w:rsidRDefault="00A8678C" w:rsidP="00DD0CBA">
            <w:pPr>
              <w:pStyle w:val="NormalWeb"/>
              <w:spacing w:before="0" w:beforeAutospacing="0" w:after="0" w:afterAutospacing="0"/>
              <w:jc w:val="center"/>
              <w:rPr>
                <w:b/>
                <w:bCs/>
                <w:color w:val="000000"/>
                <w:sz w:val="20"/>
                <w:szCs w:val="20"/>
              </w:rPr>
            </w:pPr>
            <w:r w:rsidRPr="00B920B0">
              <w:rPr>
                <w:b/>
                <w:bCs/>
                <w:color w:val="000000"/>
                <w:sz w:val="20"/>
                <w:szCs w:val="20"/>
              </w:rPr>
              <w:t>VALOR TOTAL</w:t>
            </w:r>
          </w:p>
        </w:tc>
        <w:tc>
          <w:tcPr>
            <w:tcW w:w="6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FC465" w14:textId="1C01D034" w:rsidR="00A8678C" w:rsidRPr="00B920B0" w:rsidRDefault="00A8678C" w:rsidP="00DD0CBA">
            <w:pPr>
              <w:pStyle w:val="NormalWeb"/>
              <w:spacing w:before="0" w:beforeAutospacing="0" w:after="0" w:afterAutospacing="0"/>
              <w:rPr>
                <w:sz w:val="20"/>
                <w:szCs w:val="20"/>
              </w:rPr>
            </w:pPr>
            <w:r w:rsidRPr="00B920B0">
              <w:rPr>
                <w:b/>
                <w:sz w:val="20"/>
                <w:szCs w:val="20"/>
              </w:rPr>
              <w:t>R$ 976.725,24</w:t>
            </w:r>
          </w:p>
          <w:p w14:paraId="65DE46B5" w14:textId="77777777" w:rsidR="00A8678C" w:rsidRPr="00B920B0" w:rsidRDefault="00A8678C" w:rsidP="00DD0CBA">
            <w:pPr>
              <w:pStyle w:val="NormalWeb"/>
              <w:spacing w:before="0" w:beforeAutospacing="0" w:after="0" w:afterAutospacing="0"/>
              <w:jc w:val="center"/>
              <w:rPr>
                <w:color w:val="000000"/>
                <w:sz w:val="20"/>
                <w:szCs w:val="20"/>
              </w:rPr>
            </w:pPr>
          </w:p>
        </w:tc>
      </w:tr>
    </w:tbl>
    <w:p w14:paraId="018C5588" w14:textId="77777777" w:rsidR="006B39C5" w:rsidRPr="006B39C5" w:rsidRDefault="006B39C5" w:rsidP="006B39C5">
      <w:pPr>
        <w:rPr>
          <w:highlight w:val="white"/>
        </w:rPr>
      </w:pPr>
    </w:p>
    <w:p w14:paraId="69E94045" w14:textId="4441FF11" w:rsidR="006B39C5" w:rsidRPr="007B08B0" w:rsidRDefault="00214959" w:rsidP="007B08B0">
      <w:pPr>
        <w:pStyle w:val="Nivel2"/>
        <w:rPr>
          <w:b/>
          <w:bCs/>
          <w:highlight w:val="white"/>
        </w:rPr>
      </w:pPr>
      <w:r w:rsidRPr="007B08B0">
        <w:rPr>
          <w:b/>
          <w:bCs/>
          <w:highlight w:val="white"/>
        </w:rPr>
        <w:t>ÓRGÃO GERENCIADOR: (DEPÓSITO CENTRAL DE MUNIÇÃO – 160246)</w:t>
      </w:r>
    </w:p>
    <w:tbl>
      <w:tblPr>
        <w:tblW w:w="98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
        <w:gridCol w:w="846"/>
        <w:gridCol w:w="2552"/>
        <w:gridCol w:w="1275"/>
        <w:gridCol w:w="1134"/>
        <w:gridCol w:w="1418"/>
        <w:gridCol w:w="1593"/>
      </w:tblGrid>
      <w:tr w:rsidR="00796066" w:rsidRPr="00E95AD6" w14:paraId="77171F04" w14:textId="77777777" w:rsidTr="00796066">
        <w:trPr>
          <w:trHeight w:val="1193"/>
        </w:trPr>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978DA4" w14:textId="77777777" w:rsidR="00796066" w:rsidRPr="00E95AD6" w:rsidRDefault="00796066">
            <w:pPr>
              <w:rPr>
                <w:rFonts w:ascii="Times New Roman" w:eastAsia="Arial" w:hAnsi="Times New Roman" w:cs="Times New Roman"/>
                <w:b/>
                <w:color w:val="000000"/>
                <w:sz w:val="20"/>
                <w:szCs w:val="20"/>
              </w:rPr>
            </w:pPr>
            <w:r w:rsidRPr="00E95AD6">
              <w:rPr>
                <w:rFonts w:ascii="Times New Roman" w:eastAsia="Arial" w:hAnsi="Times New Roman" w:cs="Times New Roman"/>
                <w:b/>
                <w:color w:val="000000" w:themeColor="text1"/>
                <w:sz w:val="20"/>
                <w:szCs w:val="20"/>
              </w:rPr>
              <w:t>GRUPO</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D42F2" w14:textId="77777777" w:rsidR="00796066" w:rsidRPr="00E95AD6" w:rsidRDefault="00796066">
            <w:pPr>
              <w:widowControl w:val="0"/>
              <w:spacing w:before="120" w:after="288" w:line="312" w:lineRule="auto"/>
              <w:jc w:val="center"/>
              <w:rPr>
                <w:rFonts w:ascii="Times New Roman" w:eastAsia="Arial" w:hAnsi="Times New Roman" w:cs="Times New Roman"/>
                <w:b/>
                <w:bCs/>
                <w:color w:val="000000" w:themeColor="text1"/>
                <w:sz w:val="20"/>
                <w:szCs w:val="20"/>
              </w:rPr>
            </w:pPr>
          </w:p>
          <w:p w14:paraId="39217976" w14:textId="0411D74C" w:rsidR="00796066" w:rsidRPr="00E95AD6" w:rsidRDefault="00796066">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t>ITEM</w:t>
            </w:r>
          </w:p>
          <w:p w14:paraId="543D7623" w14:textId="77777777" w:rsidR="00796066" w:rsidRPr="00E95AD6" w:rsidRDefault="00796066">
            <w:pPr>
              <w:widowControl w:val="0"/>
              <w:spacing w:before="120" w:after="288" w:line="312" w:lineRule="auto"/>
              <w:jc w:val="center"/>
              <w:rPr>
                <w:rFonts w:ascii="Times New Roman" w:eastAsia="Arial" w:hAnsi="Times New Roman" w:cs="Times New Roman"/>
                <w:b/>
                <w:bCs/>
                <w:color w:val="000000"/>
                <w:sz w:val="20"/>
                <w:szCs w:val="20"/>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A077D" w14:textId="77777777" w:rsidR="00796066" w:rsidRPr="00E95AD6" w:rsidRDefault="00796066">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b/>
                <w:bCs/>
                <w:color w:val="000000" w:themeColor="text1"/>
                <w:sz w:val="20"/>
                <w:szCs w:val="20"/>
              </w:rPr>
              <w:t>ESPECIFICAÇÃO</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973A8" w14:textId="77777777" w:rsidR="00796066" w:rsidRPr="00E95AD6" w:rsidRDefault="00796066">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b/>
                <w:b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6CA34" w14:textId="77777777" w:rsidR="00796066" w:rsidRPr="00E95AD6" w:rsidRDefault="00796066">
            <w:pPr>
              <w:widowControl w:val="0"/>
              <w:spacing w:before="120" w:after="288" w:line="312" w:lineRule="auto"/>
              <w:jc w:val="center"/>
              <w:rPr>
                <w:rFonts w:ascii="Times New Roman" w:eastAsia="Arial" w:hAnsi="Times New Roman" w:cs="Times New Roman"/>
                <w:b/>
                <w:bCs/>
                <w:sz w:val="20"/>
                <w:szCs w:val="20"/>
              </w:rPr>
            </w:pPr>
            <w:r w:rsidRPr="00E95AD6">
              <w:rPr>
                <w:rFonts w:ascii="Times New Roman" w:eastAsia="Arial" w:hAnsi="Times New Roman" w:cs="Times New Roman"/>
                <w:b/>
                <w:bCs/>
                <w:sz w:val="20"/>
                <w:szCs w:val="20"/>
              </w:rPr>
              <w:t>QUANTIDADE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7DC05" w14:textId="77777777" w:rsidR="00796066" w:rsidRPr="00E95AD6" w:rsidRDefault="00796066">
            <w:pPr>
              <w:widowControl w:val="0"/>
              <w:spacing w:before="120" w:after="288" w:line="312" w:lineRule="auto"/>
              <w:jc w:val="center"/>
              <w:rPr>
                <w:rFonts w:ascii="Times New Roman" w:eastAsia="Arial" w:hAnsi="Times New Roman" w:cs="Times New Roman"/>
                <w:b/>
                <w:bCs/>
                <w:sz w:val="20"/>
                <w:szCs w:val="20"/>
              </w:rPr>
            </w:pPr>
            <w:r w:rsidRPr="00E95AD6">
              <w:rPr>
                <w:rFonts w:ascii="Times New Roman" w:eastAsia="Arial" w:hAnsi="Times New Roman" w:cs="Times New Roman"/>
                <w:b/>
                <w:bCs/>
                <w:sz w:val="20"/>
                <w:szCs w:val="20"/>
              </w:rPr>
              <w:t>VALOR UNITÁRIO</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08F52" w14:textId="77777777" w:rsidR="00796066" w:rsidRPr="00E95AD6" w:rsidRDefault="00796066">
            <w:pPr>
              <w:widowControl w:val="0"/>
              <w:spacing w:before="120" w:after="288" w:line="312" w:lineRule="auto"/>
              <w:jc w:val="center"/>
              <w:rPr>
                <w:rFonts w:ascii="Times New Roman" w:eastAsia="Arial" w:hAnsi="Times New Roman" w:cs="Times New Roman"/>
                <w:b/>
                <w:bCs/>
                <w:sz w:val="20"/>
                <w:szCs w:val="20"/>
              </w:rPr>
            </w:pPr>
            <w:r w:rsidRPr="00E95AD6">
              <w:rPr>
                <w:rFonts w:ascii="Times New Roman" w:eastAsia="Arial" w:hAnsi="Times New Roman" w:cs="Times New Roman"/>
                <w:b/>
                <w:bCs/>
                <w:sz w:val="20"/>
                <w:szCs w:val="20"/>
              </w:rPr>
              <w:t>VALOR TOTAL</w:t>
            </w:r>
          </w:p>
        </w:tc>
      </w:tr>
      <w:tr w:rsidR="00796066" w:rsidRPr="00E95AD6" w14:paraId="23DF5D9D" w14:textId="77777777" w:rsidTr="00796066">
        <w:tc>
          <w:tcPr>
            <w:tcW w:w="9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F2227" w14:textId="77777777" w:rsidR="00796066" w:rsidRPr="00E95AD6" w:rsidRDefault="00796066">
            <w:pPr>
              <w:jc w:val="center"/>
              <w:rPr>
                <w:rFonts w:ascii="Times New Roman" w:eastAsia="Arial" w:hAnsi="Times New Roman" w:cs="Times New Roman"/>
                <w:b/>
                <w:color w:val="000000"/>
                <w:sz w:val="20"/>
                <w:szCs w:val="20"/>
              </w:rPr>
            </w:pPr>
            <w:r w:rsidRPr="00E95AD6">
              <w:rPr>
                <w:rFonts w:ascii="Times New Roman" w:eastAsia="Arial" w:hAnsi="Times New Roman" w:cs="Times New Roman"/>
                <w:b/>
                <w:color w:val="000000" w:themeColor="text1"/>
                <w:sz w:val="20"/>
                <w:szCs w:val="20"/>
              </w:rPr>
              <w:t>1</w:t>
            </w:r>
          </w:p>
          <w:p w14:paraId="45AE281B" w14:textId="77777777" w:rsidR="00796066" w:rsidRPr="00E95AD6" w:rsidRDefault="00796066">
            <w:pPr>
              <w:jc w:val="center"/>
              <w:rPr>
                <w:rFonts w:ascii="Times New Roman" w:eastAsia="Arial" w:hAnsi="Times New Roman" w:cs="Times New Roman"/>
                <w:b/>
                <w:color w:val="000000"/>
                <w:sz w:val="20"/>
                <w:szCs w:val="20"/>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5061B" w14:textId="77777777" w:rsidR="00796066" w:rsidRPr="00E95AD6" w:rsidRDefault="00796066">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B83B82" w14:textId="67BC242E" w:rsidR="00796066" w:rsidRPr="00E95AD6" w:rsidRDefault="00E95AD6" w:rsidP="00796066">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r w:rsidRPr="00E95AD6">
              <w:rPr>
                <w:rFonts w:ascii="Times New Roman" w:eastAsia="Calibri" w:hAnsi="Times New Roman" w:cs="Times New Roman"/>
                <w:color w:val="000000"/>
                <w:sz w:val="20"/>
                <w:szCs w:val="20"/>
              </w:rPr>
              <w:t xml:space="preserve">SCANNER DE DETECÇÃO DE MATERIAS </w:t>
            </w:r>
          </w:p>
          <w:p w14:paraId="14CFD441" w14:textId="186333A4" w:rsidR="00796066" w:rsidRPr="00E95AD6" w:rsidRDefault="00E95AD6" w:rsidP="00796066">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proofErr w:type="gramStart"/>
            <w:r w:rsidRPr="00E95AD6">
              <w:rPr>
                <w:rFonts w:ascii="Times New Roman" w:eastAsia="Calibri" w:hAnsi="Times New Roman" w:cs="Times New Roman"/>
                <w:color w:val="000000"/>
                <w:sz w:val="20"/>
                <w:szCs w:val="20"/>
              </w:rPr>
              <w:t>COM  INTELIGÊNCIA</w:t>
            </w:r>
            <w:proofErr w:type="gramEnd"/>
            <w:r w:rsidRPr="00E95AD6">
              <w:rPr>
                <w:rFonts w:ascii="Times New Roman" w:eastAsia="Calibri" w:hAnsi="Times New Roman" w:cs="Times New Roman"/>
                <w:color w:val="000000"/>
                <w:sz w:val="20"/>
                <w:szCs w:val="20"/>
              </w:rPr>
              <w:t xml:space="preserve"> ARTIFICIAL PARA IDENTIFICAÇÃO DE ARMAMENTO E MUNIÇÃO,  MESAS DE ROLETE DE 3,00 MTS, NO BREAK E DOIS MONITORES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1437A" w14:textId="2344E561" w:rsidR="00796066" w:rsidRPr="00E95AD6" w:rsidRDefault="00796066" w:rsidP="00796066">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color w:val="000000"/>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83F7B" w14:textId="77777777" w:rsidR="00796066" w:rsidRPr="007B08B0" w:rsidRDefault="00796066">
            <w:pPr>
              <w:widowControl w:val="0"/>
              <w:spacing w:before="120" w:after="288" w:line="312" w:lineRule="auto"/>
              <w:jc w:val="center"/>
              <w:rPr>
                <w:rFonts w:ascii="Times New Roman" w:eastAsia="Arial" w:hAnsi="Times New Roman" w:cs="Times New Roman"/>
                <w:b/>
                <w:bCs/>
                <w:sz w:val="20"/>
                <w:szCs w:val="20"/>
              </w:rPr>
            </w:pPr>
          </w:p>
          <w:p w14:paraId="67283FE7" w14:textId="153B3257" w:rsidR="00796066" w:rsidRPr="007B08B0" w:rsidRDefault="00482DA5">
            <w:pPr>
              <w:widowControl w:val="0"/>
              <w:spacing w:before="120" w:after="288" w:line="312" w:lineRule="auto"/>
              <w:jc w:val="center"/>
              <w:rPr>
                <w:rFonts w:ascii="Times New Roman" w:eastAsia="Arial" w:hAnsi="Times New Roman" w:cs="Times New Roman"/>
                <w:b/>
                <w:bCs/>
                <w:sz w:val="20"/>
                <w:szCs w:val="20"/>
              </w:rPr>
            </w:pPr>
            <w:r w:rsidRPr="007B08B0">
              <w:rPr>
                <w:rFonts w:ascii="Times New Roman" w:eastAsia="Arial" w:hAnsi="Times New Roman" w:cs="Times New Roman"/>
                <w:b/>
                <w:bCs/>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86241" w14:textId="77777777" w:rsidR="00796066" w:rsidRPr="00E95AD6" w:rsidRDefault="00796066">
            <w:pPr>
              <w:pStyle w:val="NormalWeb"/>
              <w:spacing w:before="0" w:beforeAutospacing="0" w:after="0" w:afterAutospacing="0"/>
              <w:jc w:val="center"/>
              <w:rPr>
                <w:sz w:val="20"/>
                <w:szCs w:val="20"/>
              </w:rPr>
            </w:pPr>
          </w:p>
          <w:p w14:paraId="3E4E0937" w14:textId="77777777" w:rsidR="00796066" w:rsidRPr="00E95AD6" w:rsidRDefault="00796066">
            <w:pPr>
              <w:pStyle w:val="NormalWeb"/>
              <w:spacing w:before="0" w:beforeAutospacing="0" w:after="0" w:afterAutospacing="0"/>
              <w:jc w:val="center"/>
              <w:rPr>
                <w:color w:val="000000"/>
                <w:sz w:val="20"/>
                <w:szCs w:val="20"/>
              </w:rPr>
            </w:pPr>
          </w:p>
          <w:p w14:paraId="52C46642" w14:textId="77777777" w:rsidR="00796066" w:rsidRPr="00E95AD6" w:rsidRDefault="00796066">
            <w:pPr>
              <w:pStyle w:val="NormalWeb"/>
              <w:spacing w:before="0" w:beforeAutospacing="0" w:after="0" w:afterAutospacing="0"/>
              <w:jc w:val="center"/>
              <w:rPr>
                <w:color w:val="000000"/>
                <w:sz w:val="20"/>
                <w:szCs w:val="20"/>
              </w:rPr>
            </w:pPr>
          </w:p>
          <w:p w14:paraId="5393E5AA" w14:textId="77777777" w:rsidR="00796066" w:rsidRPr="00E95AD6" w:rsidRDefault="00796066">
            <w:pPr>
              <w:pStyle w:val="NormalWeb"/>
              <w:spacing w:before="0" w:beforeAutospacing="0" w:after="0" w:afterAutospacing="0"/>
              <w:jc w:val="center"/>
              <w:rPr>
                <w:color w:val="000000"/>
                <w:sz w:val="20"/>
                <w:szCs w:val="20"/>
              </w:rPr>
            </w:pPr>
          </w:p>
          <w:p w14:paraId="6BDE95FA" w14:textId="77777777" w:rsidR="00796066" w:rsidRPr="00E95AD6" w:rsidRDefault="00796066">
            <w:pPr>
              <w:pStyle w:val="NormalWeb"/>
              <w:spacing w:before="0" w:beforeAutospacing="0" w:after="0" w:afterAutospacing="0"/>
              <w:jc w:val="center"/>
              <w:rPr>
                <w:color w:val="000000"/>
                <w:sz w:val="20"/>
                <w:szCs w:val="20"/>
              </w:rPr>
            </w:pPr>
          </w:p>
          <w:p w14:paraId="552C9540" w14:textId="77777777" w:rsidR="00796066" w:rsidRPr="00E95AD6" w:rsidRDefault="00796066">
            <w:pPr>
              <w:pStyle w:val="NormalWeb"/>
              <w:spacing w:before="0" w:beforeAutospacing="0" w:after="0" w:afterAutospacing="0"/>
              <w:jc w:val="center"/>
              <w:rPr>
                <w:color w:val="000000"/>
                <w:sz w:val="20"/>
                <w:szCs w:val="20"/>
              </w:rPr>
            </w:pPr>
            <w:r w:rsidRPr="00E95AD6">
              <w:rPr>
                <w:color w:val="000000"/>
                <w:sz w:val="20"/>
                <w:szCs w:val="20"/>
              </w:rPr>
              <w:t>R$ 153.300,00</w:t>
            </w:r>
          </w:p>
          <w:p w14:paraId="2A6694CA" w14:textId="77777777" w:rsidR="00796066" w:rsidRPr="00E95AD6" w:rsidRDefault="00796066">
            <w:pPr>
              <w:widowControl w:val="0"/>
              <w:spacing w:before="120" w:after="288" w:line="312" w:lineRule="auto"/>
              <w:rPr>
                <w:rFonts w:ascii="Times New Roman" w:eastAsia="Arial" w:hAnsi="Times New Roman" w:cs="Times New Roman"/>
                <w:color w:val="000000"/>
                <w:sz w:val="20"/>
                <w:szCs w:val="20"/>
              </w:rPr>
            </w:pP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66C95F" w14:textId="77777777" w:rsidR="00796066" w:rsidRPr="00E95AD6" w:rsidRDefault="00796066">
            <w:pPr>
              <w:pStyle w:val="NormalWeb"/>
              <w:spacing w:before="0" w:beforeAutospacing="0" w:after="0" w:afterAutospacing="0"/>
              <w:jc w:val="center"/>
              <w:rPr>
                <w:sz w:val="20"/>
                <w:szCs w:val="20"/>
              </w:rPr>
            </w:pPr>
          </w:p>
          <w:p w14:paraId="4E481FFF" w14:textId="77777777" w:rsidR="00796066" w:rsidRPr="00E95AD6" w:rsidRDefault="00796066">
            <w:pPr>
              <w:pStyle w:val="NormalWeb"/>
              <w:spacing w:before="0" w:beforeAutospacing="0" w:after="0" w:afterAutospacing="0"/>
              <w:jc w:val="center"/>
              <w:rPr>
                <w:color w:val="000000"/>
                <w:sz w:val="20"/>
                <w:szCs w:val="20"/>
              </w:rPr>
            </w:pPr>
          </w:p>
          <w:p w14:paraId="40005559" w14:textId="77777777" w:rsidR="00796066" w:rsidRPr="00E95AD6" w:rsidRDefault="00796066">
            <w:pPr>
              <w:pStyle w:val="NormalWeb"/>
              <w:spacing w:before="0" w:beforeAutospacing="0" w:after="0" w:afterAutospacing="0"/>
              <w:jc w:val="center"/>
              <w:rPr>
                <w:color w:val="000000"/>
                <w:sz w:val="20"/>
                <w:szCs w:val="20"/>
              </w:rPr>
            </w:pPr>
          </w:p>
          <w:p w14:paraId="67D71DC2" w14:textId="77777777" w:rsidR="00796066" w:rsidRPr="00E95AD6" w:rsidRDefault="00796066">
            <w:pPr>
              <w:pStyle w:val="NormalWeb"/>
              <w:spacing w:before="0" w:beforeAutospacing="0" w:after="0" w:afterAutospacing="0"/>
              <w:jc w:val="center"/>
              <w:rPr>
                <w:color w:val="000000"/>
                <w:sz w:val="20"/>
                <w:szCs w:val="20"/>
              </w:rPr>
            </w:pPr>
          </w:p>
          <w:p w14:paraId="429D80EE" w14:textId="77777777" w:rsidR="00796066" w:rsidRPr="00E95AD6" w:rsidRDefault="00796066">
            <w:pPr>
              <w:pStyle w:val="NormalWeb"/>
              <w:spacing w:before="0" w:beforeAutospacing="0" w:after="0" w:afterAutospacing="0"/>
              <w:jc w:val="center"/>
              <w:rPr>
                <w:color w:val="000000"/>
                <w:sz w:val="20"/>
                <w:szCs w:val="20"/>
              </w:rPr>
            </w:pPr>
          </w:p>
          <w:p w14:paraId="2F68020E" w14:textId="4A229B2F" w:rsidR="00796066" w:rsidRPr="00E95AD6" w:rsidRDefault="00796066">
            <w:pPr>
              <w:pStyle w:val="NormalWeb"/>
              <w:spacing w:before="0" w:beforeAutospacing="0" w:after="0" w:afterAutospacing="0"/>
              <w:jc w:val="center"/>
              <w:rPr>
                <w:color w:val="000000"/>
                <w:sz w:val="20"/>
                <w:szCs w:val="20"/>
              </w:rPr>
            </w:pPr>
            <w:r w:rsidRPr="00E95AD6">
              <w:rPr>
                <w:color w:val="000000"/>
                <w:sz w:val="20"/>
                <w:szCs w:val="20"/>
              </w:rPr>
              <w:t xml:space="preserve">R$ </w:t>
            </w:r>
            <w:r w:rsidR="007B08B0">
              <w:rPr>
                <w:color w:val="000000"/>
                <w:sz w:val="20"/>
                <w:szCs w:val="20"/>
              </w:rPr>
              <w:t>459.900,00</w:t>
            </w:r>
          </w:p>
          <w:p w14:paraId="44239386" w14:textId="77777777" w:rsidR="00796066" w:rsidRPr="00E95AD6" w:rsidRDefault="00796066">
            <w:pPr>
              <w:widowControl w:val="0"/>
              <w:spacing w:before="120" w:after="288" w:line="312" w:lineRule="auto"/>
              <w:rPr>
                <w:rFonts w:ascii="Times New Roman" w:eastAsia="Arial" w:hAnsi="Times New Roman" w:cs="Times New Roman"/>
                <w:color w:val="000000"/>
                <w:sz w:val="20"/>
                <w:szCs w:val="20"/>
              </w:rPr>
            </w:pPr>
          </w:p>
        </w:tc>
      </w:tr>
      <w:tr w:rsidR="00796066" w:rsidRPr="00E95AD6" w14:paraId="5FCEDE35" w14:textId="77777777" w:rsidTr="00796066">
        <w:tc>
          <w:tcPr>
            <w:tcW w:w="9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71305" w14:textId="77777777" w:rsidR="00796066" w:rsidRPr="00E95AD6" w:rsidRDefault="00796066">
            <w:pPr>
              <w:rPr>
                <w:rFonts w:ascii="Times New Roman" w:hAnsi="Times New Roman" w:cs="Times New Roman"/>
                <w:sz w:val="20"/>
                <w:szCs w:val="20"/>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18F7E" w14:textId="77777777" w:rsidR="00796066" w:rsidRPr="00E95AD6" w:rsidRDefault="00796066">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519" w14:textId="2975CCD9" w:rsidR="00796066" w:rsidRPr="00E95AD6" w:rsidRDefault="00E95AD6" w:rsidP="00796066">
            <w:pPr>
              <w:pStyle w:val="NormalWeb"/>
              <w:spacing w:before="0" w:beforeAutospacing="0" w:after="0" w:afterAutospacing="0"/>
              <w:jc w:val="both"/>
              <w:rPr>
                <w:rFonts w:eastAsia="Calibri"/>
                <w:color w:val="000000"/>
                <w:sz w:val="20"/>
                <w:szCs w:val="20"/>
              </w:rPr>
            </w:pPr>
            <w:r w:rsidRPr="00E95AD6">
              <w:rPr>
                <w:rFonts w:eastAsia="Calibri"/>
                <w:color w:val="000000"/>
                <w:sz w:val="20"/>
                <w:szCs w:val="20"/>
              </w:rPr>
              <w:t>PORTAL DE DETECTOR DE METAL SIMILAR AO MODELOS GARRET PD65001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760708" w14:textId="2AF26186" w:rsidR="00796066" w:rsidRPr="00E95AD6" w:rsidRDefault="00796066" w:rsidP="00796066">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color w:val="000000"/>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88310" w14:textId="74EFAA5F" w:rsidR="00796066" w:rsidRPr="007B08B0" w:rsidRDefault="00482DA5">
            <w:pPr>
              <w:widowControl w:val="0"/>
              <w:spacing w:before="120" w:after="288" w:line="312" w:lineRule="auto"/>
              <w:jc w:val="center"/>
              <w:rPr>
                <w:rFonts w:ascii="Times New Roman" w:eastAsia="Arial" w:hAnsi="Times New Roman" w:cs="Times New Roman"/>
                <w:b/>
                <w:bCs/>
                <w:sz w:val="20"/>
                <w:szCs w:val="20"/>
              </w:rPr>
            </w:pPr>
            <w:r w:rsidRPr="007B08B0">
              <w:rPr>
                <w:rFonts w:ascii="Times New Roman" w:eastAsia="Arial" w:hAnsi="Times New Roman" w:cs="Times New Roman"/>
                <w:b/>
                <w:bCs/>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1CAD" w14:textId="77777777" w:rsidR="00482DA5" w:rsidRDefault="00482DA5">
            <w:pPr>
              <w:pStyle w:val="NormalWeb"/>
              <w:spacing w:before="0" w:beforeAutospacing="0" w:after="0" w:afterAutospacing="0"/>
              <w:jc w:val="center"/>
              <w:rPr>
                <w:color w:val="000000"/>
                <w:sz w:val="20"/>
                <w:szCs w:val="20"/>
              </w:rPr>
            </w:pPr>
          </w:p>
          <w:p w14:paraId="70C8EFC0" w14:textId="29680323" w:rsidR="00796066" w:rsidRPr="00E95AD6" w:rsidRDefault="00796066">
            <w:pPr>
              <w:pStyle w:val="NormalWeb"/>
              <w:spacing w:before="0" w:beforeAutospacing="0" w:after="0" w:afterAutospacing="0"/>
              <w:jc w:val="center"/>
              <w:rPr>
                <w:color w:val="000000"/>
                <w:sz w:val="20"/>
                <w:szCs w:val="20"/>
              </w:rPr>
            </w:pPr>
            <w:r w:rsidRPr="00E95AD6">
              <w:rPr>
                <w:color w:val="000000"/>
                <w:sz w:val="20"/>
                <w:szCs w:val="20"/>
              </w:rPr>
              <w:t>R$ 55.926,66</w:t>
            </w:r>
          </w:p>
          <w:p w14:paraId="67A28B2A" w14:textId="77777777" w:rsidR="00796066" w:rsidRPr="00E95AD6" w:rsidRDefault="00796066">
            <w:pPr>
              <w:pStyle w:val="NormalWeb"/>
              <w:spacing w:before="0" w:beforeAutospacing="0" w:after="0" w:afterAutospacing="0"/>
              <w:jc w:val="center"/>
              <w:rPr>
                <w:sz w:val="20"/>
                <w:szCs w:val="20"/>
              </w:rPr>
            </w:pPr>
          </w:p>
          <w:p w14:paraId="61C1B22E" w14:textId="77777777" w:rsidR="00796066" w:rsidRPr="00E95AD6" w:rsidRDefault="00796066">
            <w:pPr>
              <w:widowControl w:val="0"/>
              <w:spacing w:before="120" w:after="288" w:line="312" w:lineRule="auto"/>
              <w:rPr>
                <w:rFonts w:ascii="Times New Roman" w:eastAsia="Arial" w:hAnsi="Times New Roman" w:cs="Times New Roman"/>
                <w:color w:val="000000"/>
                <w:sz w:val="20"/>
                <w:szCs w:val="20"/>
              </w:rPr>
            </w:pP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D8C70" w14:textId="208240BC" w:rsidR="00796066" w:rsidRPr="00E95AD6" w:rsidRDefault="00796066">
            <w:pPr>
              <w:pStyle w:val="NormalWeb"/>
              <w:spacing w:before="0" w:beforeAutospacing="0" w:after="0" w:afterAutospacing="0"/>
              <w:jc w:val="center"/>
              <w:rPr>
                <w:sz w:val="20"/>
                <w:szCs w:val="20"/>
              </w:rPr>
            </w:pPr>
            <w:r w:rsidRPr="00E95AD6">
              <w:rPr>
                <w:color w:val="000000"/>
                <w:sz w:val="20"/>
                <w:szCs w:val="20"/>
              </w:rPr>
              <w:t xml:space="preserve">R$ </w:t>
            </w:r>
            <w:r w:rsidR="007B08B0">
              <w:rPr>
                <w:color w:val="000000"/>
                <w:sz w:val="20"/>
                <w:szCs w:val="20"/>
              </w:rPr>
              <w:t>167.779,98</w:t>
            </w:r>
          </w:p>
          <w:p w14:paraId="74619CF2" w14:textId="77777777" w:rsidR="00796066" w:rsidRPr="00E95AD6" w:rsidRDefault="00796066">
            <w:pPr>
              <w:widowControl w:val="0"/>
              <w:spacing w:before="120" w:after="288" w:line="312" w:lineRule="auto"/>
              <w:rPr>
                <w:rFonts w:ascii="Times New Roman" w:eastAsia="Arial" w:hAnsi="Times New Roman" w:cs="Times New Roman"/>
                <w:color w:val="000000"/>
                <w:sz w:val="20"/>
                <w:szCs w:val="20"/>
              </w:rPr>
            </w:pPr>
          </w:p>
        </w:tc>
      </w:tr>
      <w:tr w:rsidR="00796066" w:rsidRPr="00E95AD6" w14:paraId="111AC92E" w14:textId="77777777" w:rsidTr="00796066">
        <w:trPr>
          <w:trHeight w:val="283"/>
        </w:trPr>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A7BBA" w14:textId="77777777" w:rsidR="00796066" w:rsidRPr="00E95AD6" w:rsidRDefault="00796066">
            <w:pPr>
              <w:jc w:val="center"/>
              <w:rPr>
                <w:rFonts w:ascii="Times New Roman" w:eastAsia="Arial" w:hAnsi="Times New Roman" w:cs="Times New Roman"/>
                <w:b/>
                <w:color w:val="000000"/>
                <w:sz w:val="20"/>
                <w:szCs w:val="20"/>
              </w:rPr>
            </w:pPr>
            <w:r w:rsidRPr="00E95AD6">
              <w:rPr>
                <w:rFonts w:ascii="Times New Roman" w:eastAsia="Arial" w:hAnsi="Times New Roman" w:cs="Times New Roman"/>
                <w:b/>
                <w:color w:val="000000" w:themeColor="text1"/>
                <w:sz w:val="20"/>
                <w:szCs w:val="20"/>
              </w:rPr>
              <w:t>2</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95800" w14:textId="77777777" w:rsidR="00796066" w:rsidRPr="00E95AD6" w:rsidRDefault="00796066">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1D224" w14:textId="6AA72418" w:rsidR="00796066" w:rsidRPr="00E95AD6" w:rsidRDefault="00E95AD6" w:rsidP="00796066">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r w:rsidRPr="00E95AD6">
              <w:rPr>
                <w:rFonts w:ascii="Times New Roman" w:eastAsia="Calibri" w:hAnsi="Times New Roman" w:cs="Times New Roman"/>
                <w:color w:val="000000"/>
                <w:sz w:val="20"/>
                <w:szCs w:val="20"/>
              </w:rPr>
              <w:t>DETECTOR DE METAIS PORTÁTIL COM CARREGADOR E</w:t>
            </w:r>
          </w:p>
          <w:p w14:paraId="5B60B13E" w14:textId="5C11554C" w:rsidR="00796066" w:rsidRPr="00477D65" w:rsidRDefault="00E95AD6" w:rsidP="00477D65">
            <w:pPr>
              <w:pStyle w:val="NormalWeb"/>
              <w:spacing w:before="0" w:beforeAutospacing="0" w:after="0" w:afterAutospacing="0"/>
              <w:jc w:val="both"/>
              <w:rPr>
                <w:rFonts w:eastAsia="Calibri"/>
                <w:sz w:val="20"/>
                <w:szCs w:val="20"/>
              </w:rPr>
            </w:pPr>
            <w:r w:rsidRPr="00E95AD6">
              <w:rPr>
                <w:rFonts w:eastAsia="Calibri"/>
                <w:color w:val="000000"/>
                <w:sz w:val="20"/>
                <w:szCs w:val="20"/>
              </w:rPr>
              <w:t xml:space="preserve">BATERIA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17DB3" w14:textId="7D4E9E89" w:rsidR="00796066" w:rsidRPr="00E95AD6" w:rsidRDefault="00796066" w:rsidP="00796066">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color w:val="000000"/>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028AD" w14:textId="77777777" w:rsidR="00796066" w:rsidRPr="007B08B0" w:rsidRDefault="00796066">
            <w:pPr>
              <w:widowControl w:val="0"/>
              <w:spacing w:before="120" w:after="288" w:line="312" w:lineRule="auto"/>
              <w:jc w:val="center"/>
              <w:rPr>
                <w:rFonts w:ascii="Times New Roman" w:eastAsia="Arial" w:hAnsi="Times New Roman" w:cs="Times New Roman"/>
                <w:b/>
                <w:bCs/>
                <w:sz w:val="20"/>
                <w:szCs w:val="20"/>
              </w:rPr>
            </w:pPr>
            <w:r w:rsidRPr="007B08B0">
              <w:rPr>
                <w:rFonts w:ascii="Times New Roman" w:eastAsia="Arial" w:hAnsi="Times New Roman" w:cs="Times New Roman"/>
                <w:b/>
                <w:bCs/>
                <w:sz w:val="20"/>
                <w:szCs w:val="20"/>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C9B26" w14:textId="5E64CCCA" w:rsidR="00796066" w:rsidRPr="00477D65" w:rsidRDefault="00796066" w:rsidP="00477D65">
            <w:pPr>
              <w:pStyle w:val="NormalWeb"/>
              <w:spacing w:before="0" w:beforeAutospacing="0" w:after="0" w:afterAutospacing="0"/>
              <w:jc w:val="center"/>
              <w:rPr>
                <w:sz w:val="20"/>
                <w:szCs w:val="20"/>
              </w:rPr>
            </w:pPr>
            <w:r w:rsidRPr="00E95AD6">
              <w:rPr>
                <w:color w:val="000000"/>
                <w:sz w:val="20"/>
                <w:szCs w:val="20"/>
              </w:rPr>
              <w:t>R$ 3.495,66</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D2768C" w14:textId="5678E0EA" w:rsidR="00796066" w:rsidRPr="00477D65" w:rsidRDefault="00796066" w:rsidP="00477D65">
            <w:pPr>
              <w:pStyle w:val="NormalWeb"/>
              <w:spacing w:before="0" w:beforeAutospacing="0" w:after="0" w:afterAutospacing="0"/>
              <w:jc w:val="center"/>
              <w:rPr>
                <w:sz w:val="20"/>
                <w:szCs w:val="20"/>
              </w:rPr>
            </w:pPr>
            <w:r w:rsidRPr="00E95AD6">
              <w:rPr>
                <w:color w:val="000000"/>
                <w:sz w:val="20"/>
                <w:szCs w:val="20"/>
              </w:rPr>
              <w:t>R$ 6.991,32</w:t>
            </w:r>
          </w:p>
        </w:tc>
      </w:tr>
    </w:tbl>
    <w:p w14:paraId="6F96AC66" w14:textId="77777777" w:rsidR="007B08B0" w:rsidRDefault="007B08B0" w:rsidP="007B08B0">
      <w:pPr>
        <w:pStyle w:val="Breno1"/>
        <w:numPr>
          <w:ilvl w:val="0"/>
          <w:numId w:val="0"/>
        </w:numPr>
        <w:spacing w:line="276" w:lineRule="auto"/>
        <w:jc w:val="both"/>
        <w:rPr>
          <w:rFonts w:eastAsia="Arial" w:cs="Arial"/>
          <w:iCs w:val="0"/>
          <w:color w:val="auto"/>
          <w:sz w:val="20"/>
        </w:rPr>
      </w:pPr>
    </w:p>
    <w:p w14:paraId="0923260E" w14:textId="0497D1BD" w:rsidR="007B08B0" w:rsidRPr="0077076F" w:rsidRDefault="007B08B0" w:rsidP="007B08B0">
      <w:pPr>
        <w:pStyle w:val="Nivel2"/>
        <w:rPr>
          <w:b/>
          <w:bCs/>
          <w:highlight w:val="white"/>
        </w:rPr>
      </w:pPr>
      <w:r w:rsidRPr="0077076F">
        <w:rPr>
          <w:b/>
          <w:bCs/>
          <w:highlight w:val="white"/>
        </w:rPr>
        <w:t>ÓRGÃO PARTICIPA</w:t>
      </w:r>
      <w:r w:rsidRPr="0077076F">
        <w:rPr>
          <w:b/>
          <w:bCs/>
          <w:color w:val="auto"/>
          <w:highlight w:val="white"/>
        </w:rPr>
        <w:t>NTE</w:t>
      </w:r>
      <w:r w:rsidR="008B127C" w:rsidRPr="0077076F">
        <w:rPr>
          <w:b/>
          <w:bCs/>
          <w:i/>
          <w:iCs/>
          <w:color w:val="auto"/>
          <w:highlight w:val="white"/>
        </w:rPr>
        <w:t>: (</w:t>
      </w:r>
      <w:r w:rsidR="008B127C" w:rsidRPr="0077076F">
        <w:rPr>
          <w:rStyle w:val="nfase"/>
          <w:b/>
          <w:bCs/>
          <w:i w:val="0"/>
          <w:iCs w:val="0"/>
          <w:color w:val="auto"/>
        </w:rPr>
        <w:t xml:space="preserve">BATALHÃO DE MANUTENÇÃO E SUPRIMENTO DE ARMAMENTO </w:t>
      </w:r>
      <w:r w:rsidR="008B127C" w:rsidRPr="0077076F">
        <w:rPr>
          <w:b/>
          <w:bCs/>
          <w:i/>
          <w:iCs/>
          <w:color w:val="auto"/>
          <w:highlight w:val="white"/>
        </w:rPr>
        <w:t xml:space="preserve">– </w:t>
      </w:r>
      <w:r w:rsidR="008B127C" w:rsidRPr="0077076F">
        <w:rPr>
          <w:b/>
          <w:bCs/>
          <w:color w:val="auto"/>
          <w:highlight w:val="white"/>
        </w:rPr>
        <w:t>160304)</w:t>
      </w:r>
    </w:p>
    <w:tbl>
      <w:tblPr>
        <w:tblW w:w="98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
        <w:gridCol w:w="846"/>
        <w:gridCol w:w="2552"/>
        <w:gridCol w:w="1275"/>
        <w:gridCol w:w="1134"/>
        <w:gridCol w:w="1418"/>
        <w:gridCol w:w="1593"/>
      </w:tblGrid>
      <w:tr w:rsidR="007B08B0" w:rsidRPr="00E95AD6" w14:paraId="32B941BE" w14:textId="77777777" w:rsidTr="00DD0CBA">
        <w:trPr>
          <w:trHeight w:val="1193"/>
        </w:trPr>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08AD1" w14:textId="77777777" w:rsidR="007B08B0" w:rsidRPr="00E95AD6" w:rsidRDefault="007B08B0" w:rsidP="00DD0CBA">
            <w:pPr>
              <w:rPr>
                <w:rFonts w:ascii="Times New Roman" w:eastAsia="Arial" w:hAnsi="Times New Roman" w:cs="Times New Roman"/>
                <w:b/>
                <w:color w:val="000000"/>
                <w:sz w:val="20"/>
                <w:szCs w:val="20"/>
              </w:rPr>
            </w:pPr>
            <w:r w:rsidRPr="00E95AD6">
              <w:rPr>
                <w:rFonts w:ascii="Times New Roman" w:eastAsia="Arial" w:hAnsi="Times New Roman" w:cs="Times New Roman"/>
                <w:b/>
                <w:color w:val="000000" w:themeColor="text1"/>
                <w:sz w:val="20"/>
                <w:szCs w:val="20"/>
              </w:rPr>
              <w:t>GRUPO</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0A60A5"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color w:val="000000" w:themeColor="text1"/>
                <w:sz w:val="20"/>
                <w:szCs w:val="20"/>
              </w:rPr>
            </w:pPr>
          </w:p>
          <w:p w14:paraId="452A8949"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lastRenderedPageBreak/>
              <w:t>ITEM</w:t>
            </w:r>
          </w:p>
          <w:p w14:paraId="0BE18C37"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color w:val="000000"/>
                <w:sz w:val="20"/>
                <w:szCs w:val="20"/>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CD386" w14:textId="77777777" w:rsidR="007B08B0" w:rsidRPr="00E95AD6" w:rsidRDefault="007B08B0" w:rsidP="00DD0CBA">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b/>
                <w:bCs/>
                <w:color w:val="000000" w:themeColor="text1"/>
                <w:sz w:val="20"/>
                <w:szCs w:val="20"/>
              </w:rPr>
              <w:lastRenderedPageBreak/>
              <w:t>ESPECIFICAÇÃO</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DBA8B3" w14:textId="77777777" w:rsidR="007B08B0" w:rsidRPr="00E95AD6" w:rsidRDefault="007B08B0" w:rsidP="00DD0CBA">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b/>
                <w:bCs/>
                <w:color w:val="000000" w:themeColor="text1"/>
                <w:sz w:val="20"/>
                <w:szCs w:val="20"/>
              </w:rPr>
              <w:t xml:space="preserve">UNIDADE DE </w:t>
            </w:r>
            <w:r w:rsidRPr="00E95AD6">
              <w:rPr>
                <w:rFonts w:ascii="Times New Roman" w:eastAsia="Arial" w:hAnsi="Times New Roman" w:cs="Times New Roman"/>
                <w:b/>
                <w:bCs/>
                <w:color w:val="000000" w:themeColor="text1"/>
                <w:sz w:val="20"/>
                <w:szCs w:val="20"/>
              </w:rPr>
              <w:lastRenderedPageBreak/>
              <w:t>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3BFE2"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sz w:val="20"/>
                <w:szCs w:val="20"/>
              </w:rPr>
            </w:pPr>
            <w:r w:rsidRPr="00E95AD6">
              <w:rPr>
                <w:rFonts w:ascii="Times New Roman" w:eastAsia="Arial" w:hAnsi="Times New Roman" w:cs="Times New Roman"/>
                <w:b/>
                <w:bCs/>
                <w:sz w:val="20"/>
                <w:szCs w:val="20"/>
              </w:rPr>
              <w:lastRenderedPageBreak/>
              <w:t>QUANTIDADE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5074F"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sz w:val="20"/>
                <w:szCs w:val="20"/>
              </w:rPr>
            </w:pPr>
            <w:r w:rsidRPr="00E95AD6">
              <w:rPr>
                <w:rFonts w:ascii="Times New Roman" w:eastAsia="Arial" w:hAnsi="Times New Roman" w:cs="Times New Roman"/>
                <w:b/>
                <w:bCs/>
                <w:sz w:val="20"/>
                <w:szCs w:val="20"/>
              </w:rPr>
              <w:t>VALOR UNITÁRIO</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6431A"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sz w:val="20"/>
                <w:szCs w:val="20"/>
              </w:rPr>
            </w:pPr>
            <w:r w:rsidRPr="00E95AD6">
              <w:rPr>
                <w:rFonts w:ascii="Times New Roman" w:eastAsia="Arial" w:hAnsi="Times New Roman" w:cs="Times New Roman"/>
                <w:b/>
                <w:bCs/>
                <w:sz w:val="20"/>
                <w:szCs w:val="20"/>
              </w:rPr>
              <w:t>VALOR TOTAL</w:t>
            </w:r>
          </w:p>
        </w:tc>
      </w:tr>
      <w:tr w:rsidR="007B08B0" w:rsidRPr="00E95AD6" w14:paraId="11E5EBDC" w14:textId="77777777" w:rsidTr="00DD0CBA">
        <w:tc>
          <w:tcPr>
            <w:tcW w:w="9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BF543" w14:textId="77777777" w:rsidR="007B08B0" w:rsidRPr="00E95AD6" w:rsidRDefault="007B08B0" w:rsidP="00DD0CBA">
            <w:pPr>
              <w:jc w:val="center"/>
              <w:rPr>
                <w:rFonts w:ascii="Times New Roman" w:eastAsia="Arial" w:hAnsi="Times New Roman" w:cs="Times New Roman"/>
                <w:b/>
                <w:color w:val="000000"/>
                <w:sz w:val="20"/>
                <w:szCs w:val="20"/>
              </w:rPr>
            </w:pPr>
            <w:r w:rsidRPr="00E95AD6">
              <w:rPr>
                <w:rFonts w:ascii="Times New Roman" w:eastAsia="Arial" w:hAnsi="Times New Roman" w:cs="Times New Roman"/>
                <w:b/>
                <w:color w:val="000000" w:themeColor="text1"/>
                <w:sz w:val="20"/>
                <w:szCs w:val="20"/>
              </w:rPr>
              <w:t>1</w:t>
            </w:r>
          </w:p>
          <w:p w14:paraId="339CB9A6" w14:textId="77777777" w:rsidR="007B08B0" w:rsidRPr="00E95AD6" w:rsidRDefault="007B08B0" w:rsidP="00DD0CBA">
            <w:pPr>
              <w:jc w:val="center"/>
              <w:rPr>
                <w:rFonts w:ascii="Times New Roman" w:eastAsia="Arial" w:hAnsi="Times New Roman" w:cs="Times New Roman"/>
                <w:b/>
                <w:color w:val="000000"/>
                <w:sz w:val="20"/>
                <w:szCs w:val="20"/>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AD286"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B2184" w14:textId="77777777" w:rsidR="007B08B0" w:rsidRPr="00E95AD6" w:rsidRDefault="007B08B0" w:rsidP="00DD0CBA">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r w:rsidRPr="00E95AD6">
              <w:rPr>
                <w:rFonts w:ascii="Times New Roman" w:eastAsia="Calibri" w:hAnsi="Times New Roman" w:cs="Times New Roman"/>
                <w:color w:val="000000"/>
                <w:sz w:val="20"/>
                <w:szCs w:val="20"/>
              </w:rPr>
              <w:t xml:space="preserve">SCANNER DE DETECÇÃO DE MATERIAS </w:t>
            </w:r>
          </w:p>
          <w:p w14:paraId="7C019FB0" w14:textId="77777777" w:rsidR="007B08B0" w:rsidRPr="00E95AD6" w:rsidRDefault="007B08B0" w:rsidP="00DD0CBA">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proofErr w:type="gramStart"/>
            <w:r w:rsidRPr="00E95AD6">
              <w:rPr>
                <w:rFonts w:ascii="Times New Roman" w:eastAsia="Calibri" w:hAnsi="Times New Roman" w:cs="Times New Roman"/>
                <w:color w:val="000000"/>
                <w:sz w:val="20"/>
                <w:szCs w:val="20"/>
              </w:rPr>
              <w:t>COM  INTELIGÊNCIA</w:t>
            </w:r>
            <w:proofErr w:type="gramEnd"/>
            <w:r w:rsidRPr="00E95AD6">
              <w:rPr>
                <w:rFonts w:ascii="Times New Roman" w:eastAsia="Calibri" w:hAnsi="Times New Roman" w:cs="Times New Roman"/>
                <w:color w:val="000000"/>
                <w:sz w:val="20"/>
                <w:szCs w:val="20"/>
              </w:rPr>
              <w:t xml:space="preserve"> ARTIFICIAL PARA IDENTIFICAÇÃO DE ARMAMENTO E MUNIÇÃO,  MESAS DE ROLETE DE 3,00 MTS, NO BREAK E DOIS MONITORES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821DD" w14:textId="77777777" w:rsidR="007B08B0" w:rsidRPr="00E95AD6" w:rsidRDefault="007B08B0" w:rsidP="00DD0CBA">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color w:val="000000"/>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8101A" w14:textId="77777777" w:rsidR="007B08B0" w:rsidRPr="007B08B0" w:rsidRDefault="007B08B0" w:rsidP="00DD0CBA">
            <w:pPr>
              <w:widowControl w:val="0"/>
              <w:spacing w:before="120" w:after="288" w:line="312" w:lineRule="auto"/>
              <w:jc w:val="center"/>
              <w:rPr>
                <w:rFonts w:ascii="Times New Roman" w:eastAsia="Arial" w:hAnsi="Times New Roman" w:cs="Times New Roman"/>
                <w:b/>
                <w:bCs/>
                <w:sz w:val="20"/>
                <w:szCs w:val="20"/>
              </w:rPr>
            </w:pPr>
          </w:p>
          <w:p w14:paraId="132E6FBE" w14:textId="68308C5C" w:rsidR="007B08B0" w:rsidRPr="007B08B0" w:rsidRDefault="00885FC2" w:rsidP="00DD0CBA">
            <w:pPr>
              <w:widowControl w:val="0"/>
              <w:spacing w:before="120" w:after="288" w:line="312" w:lineRule="auto"/>
              <w:jc w:val="center"/>
              <w:rPr>
                <w:rFonts w:ascii="Times New Roman" w:eastAsia="Arial" w:hAnsi="Times New Roman" w:cs="Times New Roman"/>
                <w:b/>
                <w:bCs/>
                <w:sz w:val="20"/>
                <w:szCs w:val="20"/>
              </w:rPr>
            </w:pPr>
            <w:r>
              <w:rPr>
                <w:rFonts w:ascii="Times New Roman" w:eastAsia="Arial" w:hAnsi="Times New Roman" w:cs="Times New Roman"/>
                <w:b/>
                <w:bCs/>
                <w:sz w:val="20"/>
                <w:szCs w:val="20"/>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18BA3" w14:textId="77777777" w:rsidR="007B08B0" w:rsidRPr="00E95AD6" w:rsidRDefault="007B08B0" w:rsidP="00DD0CBA">
            <w:pPr>
              <w:pStyle w:val="NormalWeb"/>
              <w:spacing w:before="0" w:beforeAutospacing="0" w:after="0" w:afterAutospacing="0"/>
              <w:jc w:val="center"/>
              <w:rPr>
                <w:sz w:val="20"/>
                <w:szCs w:val="20"/>
              </w:rPr>
            </w:pPr>
          </w:p>
          <w:p w14:paraId="3FD6D9B9" w14:textId="77777777" w:rsidR="007B08B0" w:rsidRPr="00E95AD6" w:rsidRDefault="007B08B0" w:rsidP="00DD0CBA">
            <w:pPr>
              <w:pStyle w:val="NormalWeb"/>
              <w:spacing w:before="0" w:beforeAutospacing="0" w:after="0" w:afterAutospacing="0"/>
              <w:jc w:val="center"/>
              <w:rPr>
                <w:color w:val="000000"/>
                <w:sz w:val="20"/>
                <w:szCs w:val="20"/>
              </w:rPr>
            </w:pPr>
          </w:p>
          <w:p w14:paraId="306B66D9" w14:textId="77777777" w:rsidR="007B08B0" w:rsidRPr="00E95AD6" w:rsidRDefault="007B08B0" w:rsidP="00DD0CBA">
            <w:pPr>
              <w:pStyle w:val="NormalWeb"/>
              <w:spacing w:before="0" w:beforeAutospacing="0" w:after="0" w:afterAutospacing="0"/>
              <w:jc w:val="center"/>
              <w:rPr>
                <w:color w:val="000000"/>
                <w:sz w:val="20"/>
                <w:szCs w:val="20"/>
              </w:rPr>
            </w:pPr>
          </w:p>
          <w:p w14:paraId="2355681A" w14:textId="77777777" w:rsidR="007B08B0" w:rsidRPr="00E95AD6" w:rsidRDefault="007B08B0" w:rsidP="00DD0CBA">
            <w:pPr>
              <w:pStyle w:val="NormalWeb"/>
              <w:spacing w:before="0" w:beforeAutospacing="0" w:after="0" w:afterAutospacing="0"/>
              <w:jc w:val="center"/>
              <w:rPr>
                <w:color w:val="000000"/>
                <w:sz w:val="20"/>
                <w:szCs w:val="20"/>
              </w:rPr>
            </w:pPr>
          </w:p>
          <w:p w14:paraId="1E877C0C" w14:textId="77777777" w:rsidR="007B08B0" w:rsidRPr="00E95AD6" w:rsidRDefault="007B08B0" w:rsidP="00DD0CBA">
            <w:pPr>
              <w:pStyle w:val="NormalWeb"/>
              <w:spacing w:before="0" w:beforeAutospacing="0" w:after="0" w:afterAutospacing="0"/>
              <w:jc w:val="center"/>
              <w:rPr>
                <w:color w:val="000000"/>
                <w:sz w:val="20"/>
                <w:szCs w:val="20"/>
              </w:rPr>
            </w:pPr>
          </w:p>
          <w:p w14:paraId="4EAEA097" w14:textId="77777777" w:rsidR="007B08B0" w:rsidRPr="00E95AD6" w:rsidRDefault="007B08B0" w:rsidP="00DD0CBA">
            <w:pPr>
              <w:pStyle w:val="NormalWeb"/>
              <w:spacing w:before="0" w:beforeAutospacing="0" w:after="0" w:afterAutospacing="0"/>
              <w:jc w:val="center"/>
              <w:rPr>
                <w:color w:val="000000"/>
                <w:sz w:val="20"/>
                <w:szCs w:val="20"/>
              </w:rPr>
            </w:pPr>
            <w:r w:rsidRPr="00E95AD6">
              <w:rPr>
                <w:color w:val="000000"/>
                <w:sz w:val="20"/>
                <w:szCs w:val="20"/>
              </w:rPr>
              <w:t>R$ 153.300,00</w:t>
            </w:r>
          </w:p>
          <w:p w14:paraId="1C539E98" w14:textId="77777777" w:rsidR="007B08B0" w:rsidRPr="00E95AD6" w:rsidRDefault="007B08B0" w:rsidP="00DD0CBA">
            <w:pPr>
              <w:widowControl w:val="0"/>
              <w:spacing w:before="120" w:after="288" w:line="312" w:lineRule="auto"/>
              <w:rPr>
                <w:rFonts w:ascii="Times New Roman" w:eastAsia="Arial" w:hAnsi="Times New Roman" w:cs="Times New Roman"/>
                <w:color w:val="000000"/>
                <w:sz w:val="20"/>
                <w:szCs w:val="20"/>
              </w:rPr>
            </w:pP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7E99C" w14:textId="77777777" w:rsidR="007B08B0" w:rsidRPr="00E95AD6" w:rsidRDefault="007B08B0" w:rsidP="00DD0CBA">
            <w:pPr>
              <w:pStyle w:val="NormalWeb"/>
              <w:spacing w:before="0" w:beforeAutospacing="0" w:after="0" w:afterAutospacing="0"/>
              <w:jc w:val="center"/>
              <w:rPr>
                <w:sz w:val="20"/>
                <w:szCs w:val="20"/>
              </w:rPr>
            </w:pPr>
          </w:p>
          <w:p w14:paraId="17C9EEF3" w14:textId="77777777" w:rsidR="007B08B0" w:rsidRPr="00E95AD6" w:rsidRDefault="007B08B0" w:rsidP="00DD0CBA">
            <w:pPr>
              <w:pStyle w:val="NormalWeb"/>
              <w:spacing w:before="0" w:beforeAutospacing="0" w:after="0" w:afterAutospacing="0"/>
              <w:jc w:val="center"/>
              <w:rPr>
                <w:color w:val="000000"/>
                <w:sz w:val="20"/>
                <w:szCs w:val="20"/>
              </w:rPr>
            </w:pPr>
          </w:p>
          <w:p w14:paraId="38E09B9F" w14:textId="77777777" w:rsidR="007B08B0" w:rsidRPr="00E95AD6" w:rsidRDefault="007B08B0" w:rsidP="00DD0CBA">
            <w:pPr>
              <w:pStyle w:val="NormalWeb"/>
              <w:spacing w:before="0" w:beforeAutospacing="0" w:after="0" w:afterAutospacing="0"/>
              <w:jc w:val="center"/>
              <w:rPr>
                <w:color w:val="000000"/>
                <w:sz w:val="20"/>
                <w:szCs w:val="20"/>
              </w:rPr>
            </w:pPr>
          </w:p>
          <w:p w14:paraId="1BBEF735" w14:textId="77777777" w:rsidR="007B08B0" w:rsidRPr="00E95AD6" w:rsidRDefault="007B08B0" w:rsidP="00DD0CBA">
            <w:pPr>
              <w:pStyle w:val="NormalWeb"/>
              <w:spacing w:before="0" w:beforeAutospacing="0" w:after="0" w:afterAutospacing="0"/>
              <w:jc w:val="center"/>
              <w:rPr>
                <w:color w:val="000000"/>
                <w:sz w:val="20"/>
                <w:szCs w:val="20"/>
              </w:rPr>
            </w:pPr>
          </w:p>
          <w:p w14:paraId="081E7AEF" w14:textId="77777777" w:rsidR="007B08B0" w:rsidRPr="00E95AD6" w:rsidRDefault="007B08B0" w:rsidP="00DD0CBA">
            <w:pPr>
              <w:pStyle w:val="NormalWeb"/>
              <w:spacing w:before="0" w:beforeAutospacing="0" w:after="0" w:afterAutospacing="0"/>
              <w:jc w:val="center"/>
              <w:rPr>
                <w:color w:val="000000"/>
                <w:sz w:val="20"/>
                <w:szCs w:val="20"/>
              </w:rPr>
            </w:pPr>
          </w:p>
          <w:p w14:paraId="145ECBAA" w14:textId="1E035422" w:rsidR="007B08B0" w:rsidRPr="00E95AD6" w:rsidRDefault="007B08B0" w:rsidP="00DD0CBA">
            <w:pPr>
              <w:pStyle w:val="NormalWeb"/>
              <w:spacing w:before="0" w:beforeAutospacing="0" w:after="0" w:afterAutospacing="0"/>
              <w:jc w:val="center"/>
              <w:rPr>
                <w:color w:val="000000"/>
                <w:sz w:val="20"/>
                <w:szCs w:val="20"/>
              </w:rPr>
            </w:pPr>
            <w:r w:rsidRPr="00E95AD6">
              <w:rPr>
                <w:color w:val="000000"/>
                <w:sz w:val="20"/>
                <w:szCs w:val="20"/>
              </w:rPr>
              <w:t xml:space="preserve">R$ </w:t>
            </w:r>
            <w:r w:rsidR="00885FC2">
              <w:rPr>
                <w:color w:val="000000"/>
                <w:sz w:val="20"/>
                <w:szCs w:val="20"/>
              </w:rPr>
              <w:t>153.300,00</w:t>
            </w:r>
          </w:p>
          <w:p w14:paraId="13B7EC03" w14:textId="77777777" w:rsidR="007B08B0" w:rsidRPr="00E95AD6" w:rsidRDefault="007B08B0" w:rsidP="00DD0CBA">
            <w:pPr>
              <w:widowControl w:val="0"/>
              <w:spacing w:before="120" w:after="288" w:line="312" w:lineRule="auto"/>
              <w:rPr>
                <w:rFonts w:ascii="Times New Roman" w:eastAsia="Arial" w:hAnsi="Times New Roman" w:cs="Times New Roman"/>
                <w:color w:val="000000"/>
                <w:sz w:val="20"/>
                <w:szCs w:val="20"/>
              </w:rPr>
            </w:pPr>
          </w:p>
        </w:tc>
      </w:tr>
      <w:tr w:rsidR="007B08B0" w:rsidRPr="00E95AD6" w14:paraId="5AE27476" w14:textId="77777777" w:rsidTr="00DD0CBA">
        <w:tc>
          <w:tcPr>
            <w:tcW w:w="9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961650" w14:textId="77777777" w:rsidR="007B08B0" w:rsidRPr="00E95AD6" w:rsidRDefault="007B08B0" w:rsidP="00DD0CBA">
            <w:pPr>
              <w:rPr>
                <w:rFonts w:ascii="Times New Roman" w:hAnsi="Times New Roman" w:cs="Times New Roman"/>
                <w:sz w:val="20"/>
                <w:szCs w:val="20"/>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2C829"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5C993" w14:textId="77777777" w:rsidR="007B08B0" w:rsidRPr="00E95AD6" w:rsidRDefault="007B08B0" w:rsidP="00DD0CBA">
            <w:pPr>
              <w:pStyle w:val="NormalWeb"/>
              <w:spacing w:before="0" w:beforeAutospacing="0" w:after="0" w:afterAutospacing="0"/>
              <w:jc w:val="both"/>
              <w:rPr>
                <w:rFonts w:eastAsia="Calibri"/>
                <w:color w:val="000000"/>
                <w:sz w:val="20"/>
                <w:szCs w:val="20"/>
              </w:rPr>
            </w:pPr>
            <w:r w:rsidRPr="00E95AD6">
              <w:rPr>
                <w:rFonts w:eastAsia="Calibri"/>
                <w:color w:val="000000"/>
                <w:sz w:val="20"/>
                <w:szCs w:val="20"/>
              </w:rPr>
              <w:t>PORTAL DE DETECTOR DE METAL SIMILAR AO MODELOS GARRET PD65001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2EFD6" w14:textId="77777777" w:rsidR="007B08B0" w:rsidRPr="00E95AD6" w:rsidRDefault="007B08B0" w:rsidP="00DD0CBA">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color w:val="000000"/>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799B8" w14:textId="77777777" w:rsidR="007B08B0" w:rsidRPr="007B08B0" w:rsidRDefault="007B08B0" w:rsidP="00DD0CBA">
            <w:pPr>
              <w:widowControl w:val="0"/>
              <w:spacing w:before="120" w:after="288" w:line="312" w:lineRule="auto"/>
              <w:jc w:val="center"/>
              <w:rPr>
                <w:rFonts w:ascii="Times New Roman" w:eastAsia="Arial" w:hAnsi="Times New Roman" w:cs="Times New Roman"/>
                <w:b/>
                <w:bCs/>
                <w:sz w:val="20"/>
                <w:szCs w:val="20"/>
              </w:rPr>
            </w:pPr>
            <w:r w:rsidRPr="007B08B0">
              <w:rPr>
                <w:rFonts w:ascii="Times New Roman" w:eastAsia="Arial" w:hAnsi="Times New Roman" w:cs="Times New Roman"/>
                <w:b/>
                <w:bCs/>
                <w:sz w:val="20"/>
                <w:szCs w:val="20"/>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0EB6F" w14:textId="77777777" w:rsidR="007B08B0" w:rsidRDefault="007B08B0" w:rsidP="00DD0CBA">
            <w:pPr>
              <w:pStyle w:val="NormalWeb"/>
              <w:spacing w:before="0" w:beforeAutospacing="0" w:after="0" w:afterAutospacing="0"/>
              <w:jc w:val="center"/>
              <w:rPr>
                <w:color w:val="000000"/>
                <w:sz w:val="20"/>
                <w:szCs w:val="20"/>
              </w:rPr>
            </w:pPr>
          </w:p>
          <w:p w14:paraId="0E14AEA9" w14:textId="77777777" w:rsidR="007B08B0" w:rsidRPr="00E95AD6" w:rsidRDefault="007B08B0" w:rsidP="00DD0CBA">
            <w:pPr>
              <w:pStyle w:val="NormalWeb"/>
              <w:spacing w:before="0" w:beforeAutospacing="0" w:after="0" w:afterAutospacing="0"/>
              <w:jc w:val="center"/>
              <w:rPr>
                <w:color w:val="000000"/>
                <w:sz w:val="20"/>
                <w:szCs w:val="20"/>
              </w:rPr>
            </w:pPr>
            <w:r w:rsidRPr="00E95AD6">
              <w:rPr>
                <w:color w:val="000000"/>
                <w:sz w:val="20"/>
                <w:szCs w:val="20"/>
              </w:rPr>
              <w:t>R$ 55.926,66</w:t>
            </w:r>
          </w:p>
          <w:p w14:paraId="4A7D38C0" w14:textId="77777777" w:rsidR="007B08B0" w:rsidRPr="00E95AD6" w:rsidRDefault="007B08B0" w:rsidP="00DD0CBA">
            <w:pPr>
              <w:pStyle w:val="NormalWeb"/>
              <w:spacing w:before="0" w:beforeAutospacing="0" w:after="0" w:afterAutospacing="0"/>
              <w:jc w:val="center"/>
              <w:rPr>
                <w:sz w:val="20"/>
                <w:szCs w:val="20"/>
              </w:rPr>
            </w:pPr>
          </w:p>
          <w:p w14:paraId="40F6EFCC" w14:textId="77777777" w:rsidR="007B08B0" w:rsidRPr="00E95AD6" w:rsidRDefault="007B08B0" w:rsidP="00DD0CBA">
            <w:pPr>
              <w:widowControl w:val="0"/>
              <w:spacing w:before="120" w:after="288" w:line="312" w:lineRule="auto"/>
              <w:rPr>
                <w:rFonts w:ascii="Times New Roman" w:eastAsia="Arial" w:hAnsi="Times New Roman" w:cs="Times New Roman"/>
                <w:color w:val="000000"/>
                <w:sz w:val="20"/>
                <w:szCs w:val="20"/>
              </w:rPr>
            </w:pP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3AFA" w14:textId="77777777" w:rsidR="007B08B0" w:rsidRPr="00E95AD6" w:rsidRDefault="007B08B0" w:rsidP="00DD0CBA">
            <w:pPr>
              <w:pStyle w:val="NormalWeb"/>
              <w:spacing w:before="0" w:beforeAutospacing="0" w:after="0" w:afterAutospacing="0"/>
              <w:jc w:val="center"/>
              <w:rPr>
                <w:sz w:val="20"/>
                <w:szCs w:val="20"/>
              </w:rPr>
            </w:pPr>
            <w:r w:rsidRPr="00E95AD6">
              <w:rPr>
                <w:color w:val="000000"/>
                <w:sz w:val="20"/>
                <w:szCs w:val="20"/>
              </w:rPr>
              <w:t xml:space="preserve">R$ </w:t>
            </w:r>
            <w:r>
              <w:rPr>
                <w:color w:val="000000"/>
                <w:sz w:val="20"/>
                <w:szCs w:val="20"/>
              </w:rPr>
              <w:t>167.779,98</w:t>
            </w:r>
          </w:p>
          <w:p w14:paraId="0C9568CF" w14:textId="77777777" w:rsidR="007B08B0" w:rsidRPr="00E95AD6" w:rsidRDefault="007B08B0" w:rsidP="00DD0CBA">
            <w:pPr>
              <w:widowControl w:val="0"/>
              <w:spacing w:before="120" w:after="288" w:line="312" w:lineRule="auto"/>
              <w:rPr>
                <w:rFonts w:ascii="Times New Roman" w:eastAsia="Arial" w:hAnsi="Times New Roman" w:cs="Times New Roman"/>
                <w:color w:val="000000"/>
                <w:sz w:val="20"/>
                <w:szCs w:val="20"/>
              </w:rPr>
            </w:pPr>
          </w:p>
        </w:tc>
      </w:tr>
      <w:tr w:rsidR="007B08B0" w:rsidRPr="00E95AD6" w14:paraId="445C8F9A" w14:textId="77777777" w:rsidTr="00DD0CBA">
        <w:trPr>
          <w:trHeight w:val="283"/>
        </w:trPr>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9AB39A" w14:textId="77777777" w:rsidR="007B08B0" w:rsidRPr="00E95AD6" w:rsidRDefault="007B08B0" w:rsidP="00DD0CBA">
            <w:pPr>
              <w:jc w:val="center"/>
              <w:rPr>
                <w:rFonts w:ascii="Times New Roman" w:eastAsia="Arial" w:hAnsi="Times New Roman" w:cs="Times New Roman"/>
                <w:b/>
                <w:color w:val="000000"/>
                <w:sz w:val="20"/>
                <w:szCs w:val="20"/>
              </w:rPr>
            </w:pPr>
            <w:r w:rsidRPr="00E95AD6">
              <w:rPr>
                <w:rFonts w:ascii="Times New Roman" w:eastAsia="Arial" w:hAnsi="Times New Roman" w:cs="Times New Roman"/>
                <w:b/>
                <w:color w:val="000000" w:themeColor="text1"/>
                <w:sz w:val="20"/>
                <w:szCs w:val="20"/>
              </w:rPr>
              <w:t>2</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8E188" w14:textId="77777777" w:rsidR="007B08B0" w:rsidRPr="00E95AD6" w:rsidRDefault="007B08B0" w:rsidP="00DD0CBA">
            <w:pPr>
              <w:widowControl w:val="0"/>
              <w:spacing w:before="120" w:after="288" w:line="312" w:lineRule="auto"/>
              <w:jc w:val="center"/>
              <w:rPr>
                <w:rFonts w:ascii="Times New Roman" w:eastAsia="Arial" w:hAnsi="Times New Roman" w:cs="Times New Roman"/>
                <w:b/>
                <w:bCs/>
                <w:color w:val="000000"/>
                <w:sz w:val="20"/>
                <w:szCs w:val="20"/>
              </w:rPr>
            </w:pPr>
            <w:r w:rsidRPr="00E95AD6">
              <w:rPr>
                <w:rFonts w:ascii="Times New Roman" w:eastAsia="Arial" w:hAnsi="Times New Roman" w:cs="Times New Roman"/>
                <w:b/>
                <w:bCs/>
                <w:color w:val="000000" w:themeColor="text1"/>
                <w:sz w:val="20"/>
                <w:szCs w:val="20"/>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0D5EE" w14:textId="77777777" w:rsidR="007B08B0" w:rsidRPr="00E95AD6" w:rsidRDefault="007B08B0" w:rsidP="00DD0CBA">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sz w:val="20"/>
                <w:szCs w:val="20"/>
              </w:rPr>
            </w:pPr>
            <w:r w:rsidRPr="00E95AD6">
              <w:rPr>
                <w:rFonts w:ascii="Times New Roman" w:eastAsia="Calibri" w:hAnsi="Times New Roman" w:cs="Times New Roman"/>
                <w:color w:val="000000"/>
                <w:sz w:val="20"/>
                <w:szCs w:val="20"/>
              </w:rPr>
              <w:t>DETECTOR DE METAIS PORTÁTIL COM CARREGADOR E</w:t>
            </w:r>
          </w:p>
          <w:p w14:paraId="60BBD5CA" w14:textId="77777777" w:rsidR="007B08B0" w:rsidRPr="00477D65" w:rsidRDefault="007B08B0" w:rsidP="00DD0CBA">
            <w:pPr>
              <w:pStyle w:val="NormalWeb"/>
              <w:spacing w:before="0" w:beforeAutospacing="0" w:after="0" w:afterAutospacing="0"/>
              <w:jc w:val="both"/>
              <w:rPr>
                <w:rFonts w:eastAsia="Calibri"/>
                <w:sz w:val="20"/>
                <w:szCs w:val="20"/>
              </w:rPr>
            </w:pPr>
            <w:r w:rsidRPr="00E95AD6">
              <w:rPr>
                <w:rFonts w:eastAsia="Calibri"/>
                <w:color w:val="000000"/>
                <w:sz w:val="20"/>
                <w:szCs w:val="20"/>
              </w:rPr>
              <w:t xml:space="preserve">BATERIA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05876B" w14:textId="77777777" w:rsidR="007B08B0" w:rsidRPr="00E95AD6" w:rsidRDefault="007B08B0" w:rsidP="00DD0CBA">
            <w:pPr>
              <w:widowControl w:val="0"/>
              <w:spacing w:before="120" w:after="288" w:line="312" w:lineRule="auto"/>
              <w:jc w:val="center"/>
              <w:rPr>
                <w:rFonts w:ascii="Times New Roman" w:eastAsia="Arial" w:hAnsi="Times New Roman" w:cs="Times New Roman"/>
                <w:color w:val="000000"/>
                <w:sz w:val="20"/>
                <w:szCs w:val="20"/>
              </w:rPr>
            </w:pPr>
            <w:r w:rsidRPr="00E95AD6">
              <w:rPr>
                <w:rFonts w:ascii="Times New Roman" w:eastAsia="Arial" w:hAnsi="Times New Roman" w:cs="Times New Roman"/>
                <w:color w:val="000000"/>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8CFF6" w14:textId="025034EE" w:rsidR="007B08B0" w:rsidRPr="007B08B0" w:rsidRDefault="00885FC2" w:rsidP="00DD0CBA">
            <w:pPr>
              <w:widowControl w:val="0"/>
              <w:spacing w:before="120" w:after="288" w:line="312" w:lineRule="auto"/>
              <w:jc w:val="center"/>
              <w:rPr>
                <w:rFonts w:ascii="Times New Roman" w:eastAsia="Arial" w:hAnsi="Times New Roman" w:cs="Times New Roman"/>
                <w:b/>
                <w:bCs/>
                <w:sz w:val="20"/>
                <w:szCs w:val="20"/>
              </w:rPr>
            </w:pPr>
            <w:r>
              <w:rPr>
                <w:rFonts w:ascii="Times New Roman" w:eastAsia="Arial" w:hAnsi="Times New Roman" w:cs="Times New Roman"/>
                <w:b/>
                <w:bCs/>
                <w:sz w:val="20"/>
                <w:szCs w:val="20"/>
              </w:rPr>
              <w:t>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F0421" w14:textId="77777777" w:rsidR="007B08B0" w:rsidRPr="00477D65" w:rsidRDefault="007B08B0" w:rsidP="00DD0CBA">
            <w:pPr>
              <w:pStyle w:val="NormalWeb"/>
              <w:spacing w:before="0" w:beforeAutospacing="0" w:after="0" w:afterAutospacing="0"/>
              <w:jc w:val="center"/>
              <w:rPr>
                <w:sz w:val="20"/>
                <w:szCs w:val="20"/>
              </w:rPr>
            </w:pPr>
            <w:r w:rsidRPr="00E95AD6">
              <w:rPr>
                <w:color w:val="000000"/>
                <w:sz w:val="20"/>
                <w:szCs w:val="20"/>
              </w:rPr>
              <w:t>R$ 3.495,66</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0E5841" w14:textId="11F5F746" w:rsidR="007B08B0" w:rsidRPr="00477D65" w:rsidRDefault="007B08B0" w:rsidP="00DD0CBA">
            <w:pPr>
              <w:pStyle w:val="NormalWeb"/>
              <w:spacing w:before="0" w:beforeAutospacing="0" w:after="0" w:afterAutospacing="0"/>
              <w:jc w:val="center"/>
              <w:rPr>
                <w:sz w:val="20"/>
                <w:szCs w:val="20"/>
              </w:rPr>
            </w:pPr>
            <w:r w:rsidRPr="00E95AD6">
              <w:rPr>
                <w:color w:val="000000"/>
                <w:sz w:val="20"/>
                <w:szCs w:val="20"/>
              </w:rPr>
              <w:t xml:space="preserve">R$ </w:t>
            </w:r>
            <w:r w:rsidR="00885FC2">
              <w:rPr>
                <w:color w:val="000000"/>
                <w:sz w:val="20"/>
                <w:szCs w:val="20"/>
              </w:rPr>
              <w:t>20.973,96</w:t>
            </w:r>
          </w:p>
        </w:tc>
      </w:tr>
    </w:tbl>
    <w:p w14:paraId="2423E82B" w14:textId="77777777" w:rsidR="007B08B0" w:rsidRPr="007B08B0" w:rsidRDefault="007B08B0" w:rsidP="00885FC2">
      <w:pPr>
        <w:pStyle w:val="Breno1"/>
        <w:numPr>
          <w:ilvl w:val="0"/>
          <w:numId w:val="0"/>
        </w:numPr>
        <w:spacing w:line="276" w:lineRule="auto"/>
        <w:jc w:val="both"/>
        <w:rPr>
          <w:rFonts w:eastAsia="Arial" w:cs="Arial"/>
          <w:iCs w:val="0"/>
          <w:color w:val="auto"/>
          <w:sz w:val="20"/>
        </w:rPr>
      </w:pPr>
    </w:p>
    <w:p w14:paraId="1CD17572" w14:textId="4DE6A3BA" w:rsidR="00D14701" w:rsidRPr="000D79B8" w:rsidRDefault="00477D65">
      <w:pPr>
        <w:pStyle w:val="Breno1"/>
        <w:spacing w:line="276" w:lineRule="auto"/>
        <w:ind w:left="0"/>
        <w:jc w:val="both"/>
        <w:rPr>
          <w:rFonts w:ascii="Times New Roman" w:eastAsia="Arial" w:hAnsi="Times New Roman"/>
          <w:iCs w:val="0"/>
          <w:color w:val="auto"/>
          <w:sz w:val="24"/>
        </w:rPr>
      </w:pPr>
      <w:r w:rsidRPr="000D79B8">
        <w:rPr>
          <w:rFonts w:ascii="Times New Roman" w:eastAsia="Arial" w:hAnsi="Times New Roman"/>
          <w:iCs w:val="0"/>
          <w:sz w:val="24"/>
        </w:rPr>
        <w:t>Especificação técnica mínima dOs EQUIPAMENTOs</w:t>
      </w:r>
    </w:p>
    <w:p w14:paraId="2A93579A" w14:textId="77777777" w:rsidR="00D14701" w:rsidRPr="000D79B8" w:rsidRDefault="00D14701">
      <w:pPr>
        <w:pStyle w:val="Breno1"/>
        <w:numPr>
          <w:ilvl w:val="0"/>
          <w:numId w:val="0"/>
        </w:numPr>
        <w:spacing w:line="276" w:lineRule="auto"/>
        <w:jc w:val="both"/>
        <w:rPr>
          <w:rFonts w:ascii="Times New Roman" w:eastAsia="Arial" w:hAnsi="Times New Roman"/>
          <w:iCs w:val="0"/>
          <w:color w:val="auto"/>
          <w:sz w:val="24"/>
        </w:rPr>
      </w:pPr>
    </w:p>
    <w:p w14:paraId="719489D5" w14:textId="6A058D51"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b/>
          <w:bCs/>
          <w:u w:val="single"/>
        </w:rPr>
        <w:t>CARACTERÍSTICAS GERAIS SCANNER DE VOLUMES:</w:t>
      </w:r>
      <w:r w:rsidR="00FE4440" w:rsidRPr="000D79B8">
        <w:rPr>
          <w:rFonts w:ascii="Times New Roman" w:eastAsia="Arial" w:hAnsi="Times New Roman" w:cs="Times New Roman"/>
          <w:b/>
          <w:bCs/>
          <w:u w:val="single"/>
        </w:rPr>
        <w:t xml:space="preserve"> </w:t>
      </w:r>
    </w:p>
    <w:p w14:paraId="6A7896E1" w14:textId="77777777" w:rsidR="00D14701" w:rsidRPr="000D79B8" w:rsidRDefault="00D14701">
      <w:pPr>
        <w:spacing w:line="276" w:lineRule="auto"/>
        <w:jc w:val="both"/>
        <w:rPr>
          <w:rFonts w:ascii="Times New Roman" w:eastAsia="Arial" w:hAnsi="Times New Roman" w:cs="Times New Roman"/>
        </w:rPr>
      </w:pPr>
    </w:p>
    <w:p w14:paraId="2F412229"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largura do túnel de inspeção de aproximadamente 550 mm (quinhentos e cinquenta milímetros) com variação de +-10% (10 por cento para mais ou para menos); </w:t>
      </w:r>
    </w:p>
    <w:p w14:paraId="70C8525D"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altura do túnel de inspeção de 330 mm (trezentos e trinta milímetros) com variação de +-10% (10 por cento para mais ou para menos); </w:t>
      </w:r>
    </w:p>
    <w:p w14:paraId="500CA0F6"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altura mínima da cinta transportadora de 600mm (seiscentos milímetros), sendo admitida altura máxima de 670mm (seiscentos e setenta milímetros);</w:t>
      </w:r>
    </w:p>
    <w:p w14:paraId="0F87DBDB"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A velocidade da cinta transportadora deve ser de 0,20m/s a 0,30m/s;</w:t>
      </w:r>
    </w:p>
    <w:p w14:paraId="6A0A15E8"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A cinta transportadora deve suportar uma carga, uniformemente distribuída, mínima de 60kg (sessenta quilos); </w:t>
      </w:r>
    </w:p>
    <w:p w14:paraId="1FF74BB6"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Peso máximo do equipamento de 400kg (sem os periféricos: monitor, teclado, nobreak e bateria, extensão de esteira). Não serão aceitos equipamentos com peso superior a fim de garantir a mobilidade da solução nas dependências da contratante e em eventos que se fizer necessário;</w:t>
      </w:r>
    </w:p>
    <w:p w14:paraId="6D204434"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dimensões compactas possibilitando a sua instalação em áreas com limitação de espaço físico, devendo possuir no máximo as seguintes medidas aproximadas com variação máximas +-10% (dez por cento para mais ou para menos):</w:t>
      </w:r>
    </w:p>
    <w:p w14:paraId="09E57CD9" w14:textId="77777777" w:rsidR="00D14701" w:rsidRPr="000D79B8" w:rsidRDefault="00D14701">
      <w:pPr>
        <w:pStyle w:val="Default"/>
        <w:spacing w:line="276" w:lineRule="auto"/>
        <w:jc w:val="both"/>
        <w:rPr>
          <w:rFonts w:ascii="Times New Roman" w:eastAsia="Arial" w:hAnsi="Times New Roman" w:cs="Times New Roman"/>
        </w:rPr>
      </w:pPr>
    </w:p>
    <w:p w14:paraId="43F35158" w14:textId="77777777" w:rsidR="00D14701" w:rsidRPr="000D79B8" w:rsidRDefault="00477D65">
      <w:pPr>
        <w:pStyle w:val="Default"/>
        <w:numPr>
          <w:ilvl w:val="1"/>
          <w:numId w:val="26"/>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Altura de 1150 mm (sem o monitor);</w:t>
      </w:r>
    </w:p>
    <w:p w14:paraId="688485DE" w14:textId="77777777" w:rsidR="00D14701" w:rsidRPr="000D79B8" w:rsidRDefault="00477D65">
      <w:pPr>
        <w:pStyle w:val="Default"/>
        <w:numPr>
          <w:ilvl w:val="1"/>
          <w:numId w:val="26"/>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Largura de 820 mm;</w:t>
      </w:r>
    </w:p>
    <w:p w14:paraId="3F107AE0" w14:textId="77777777" w:rsidR="00D14701" w:rsidRPr="000D79B8" w:rsidRDefault="00477D65">
      <w:pPr>
        <w:pStyle w:val="Default"/>
        <w:numPr>
          <w:ilvl w:val="1"/>
          <w:numId w:val="26"/>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 xml:space="preserve">Comprimento de 1500 mm, sem a extensão de esteira; </w:t>
      </w:r>
    </w:p>
    <w:p w14:paraId="7646CC6C" w14:textId="77777777" w:rsidR="00D14701" w:rsidRPr="000D79B8" w:rsidRDefault="00477D65">
      <w:pPr>
        <w:pStyle w:val="Default"/>
        <w:numPr>
          <w:ilvl w:val="1"/>
          <w:numId w:val="26"/>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Não serão aceitos equipamentos de dimensão superior a fim de respeitar os espaços disponíveis por esta contratante e para garantir a mobilidade;</w:t>
      </w:r>
    </w:p>
    <w:p w14:paraId="151D3E67" w14:textId="77777777" w:rsidR="00D14701" w:rsidRPr="000D79B8" w:rsidRDefault="00477D65">
      <w:pPr>
        <w:pStyle w:val="Default"/>
        <w:numPr>
          <w:ilvl w:val="1"/>
          <w:numId w:val="26"/>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O equipamento deve possuir construção em estrutura de aço, montado sobre rodízios;</w:t>
      </w:r>
    </w:p>
    <w:p w14:paraId="1DEFAFF0" w14:textId="77777777" w:rsidR="00D14701" w:rsidRPr="000D79B8" w:rsidRDefault="00477D65">
      <w:pPr>
        <w:pStyle w:val="Default"/>
        <w:numPr>
          <w:ilvl w:val="1"/>
          <w:numId w:val="26"/>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Não serão aceitos equipamentos que estejam montados sobre mesas ou qualquer tipo de suporte, devendo as 3 dimensões serem atingidas apenas por estrutura própria inteiriça.</w:t>
      </w:r>
    </w:p>
    <w:p w14:paraId="0F3D5EB6" w14:textId="77777777" w:rsidR="00D14701" w:rsidRPr="000D79B8" w:rsidRDefault="00D14701">
      <w:pPr>
        <w:pStyle w:val="Default"/>
        <w:spacing w:line="276" w:lineRule="auto"/>
        <w:jc w:val="both"/>
        <w:rPr>
          <w:rFonts w:ascii="Times New Roman" w:eastAsia="Arial" w:hAnsi="Times New Roman" w:cs="Times New Roman"/>
        </w:rPr>
      </w:pPr>
    </w:p>
    <w:p w14:paraId="40671B66"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componentes padronizados e intercambiáveis;</w:t>
      </w:r>
    </w:p>
    <w:p w14:paraId="4E92E322"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chapas metálicas com tratamento anticorrosivo, antes da pintura;</w:t>
      </w:r>
    </w:p>
    <w:p w14:paraId="74206956"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na entrada e na saída do túnel, coberturas feitas de aço inoxidável ou material resistente, de 200 mm, a fim de evitar que as pessoas, inadvertidamente, venham a introduzir as mãos dentro do túnel de inspeção;</w:t>
      </w:r>
    </w:p>
    <w:p w14:paraId="1A760E37"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sensor de presença nas extremidades do túnel de maneira que acione os raios X apenas quando detectada a presença de um ou mais volumes na esteira. A entrada e a saída do túnel possuem cortinas de material flexível, cortina </w:t>
      </w:r>
      <w:proofErr w:type="spellStart"/>
      <w:r w:rsidRPr="000D79B8">
        <w:rPr>
          <w:rFonts w:ascii="Times New Roman" w:eastAsia="Arial" w:hAnsi="Times New Roman" w:cs="Times New Roman"/>
        </w:rPr>
        <w:t>plumbífera</w:t>
      </w:r>
      <w:proofErr w:type="spellEnd"/>
      <w:r w:rsidRPr="000D79B8">
        <w:rPr>
          <w:rFonts w:ascii="Times New Roman" w:eastAsia="Arial" w:hAnsi="Times New Roman" w:cs="Times New Roman"/>
        </w:rPr>
        <w:t>, capazes de bloquear qualquer emissão de raios X;</w:t>
      </w:r>
    </w:p>
    <w:p w14:paraId="3E0C2521"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nível de ruído de operação inferior a 70 decibéis;</w:t>
      </w:r>
    </w:p>
    <w:p w14:paraId="72F931F6"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chaves de intertravamento de portas e tampas (</w:t>
      </w:r>
      <w:proofErr w:type="spellStart"/>
      <w:r w:rsidRPr="000D79B8">
        <w:rPr>
          <w:rFonts w:ascii="Times New Roman" w:eastAsia="Arial" w:hAnsi="Times New Roman" w:cs="Times New Roman"/>
        </w:rPr>
        <w:t>interlock</w:t>
      </w:r>
      <w:proofErr w:type="spellEnd"/>
      <w:r w:rsidRPr="000D79B8">
        <w:rPr>
          <w:rFonts w:ascii="Times New Roman" w:eastAsia="Arial" w:hAnsi="Times New Roman" w:cs="Times New Roman"/>
        </w:rPr>
        <w:t xml:space="preserve"> switches), para interromper a emissão de raios X, caso aquelas venham a se abrir por qualquer motivo;</w:t>
      </w:r>
    </w:p>
    <w:p w14:paraId="5CFE9570" w14:textId="77777777" w:rsidR="00D14701" w:rsidRPr="000D79B8" w:rsidRDefault="00477D65">
      <w:pPr>
        <w:pStyle w:val="Default"/>
        <w:numPr>
          <w:ilvl w:val="0"/>
          <w:numId w:val="26"/>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túnel de inspeção é blindado, para evitar o vazamento de radiação;</w:t>
      </w:r>
    </w:p>
    <w:p w14:paraId="2DB7D942" w14:textId="77777777" w:rsidR="00D14701" w:rsidRPr="000D79B8" w:rsidRDefault="00477D65">
      <w:pPr>
        <w:pStyle w:val="Nivel2"/>
        <w:numPr>
          <w:ilvl w:val="0"/>
          <w:numId w:val="0"/>
        </w:numPr>
        <w:ind w:left="360"/>
        <w:rPr>
          <w:rFonts w:ascii="Times New Roman" w:hAnsi="Times New Roman" w:cs="Times New Roman"/>
          <w:sz w:val="24"/>
          <w:szCs w:val="24"/>
        </w:rPr>
      </w:pPr>
      <w:r w:rsidRPr="000D79B8">
        <w:rPr>
          <w:rFonts w:ascii="Times New Roman" w:hAnsi="Times New Roman" w:cs="Times New Roman"/>
          <w:sz w:val="24"/>
          <w:szCs w:val="24"/>
        </w:rPr>
        <w:t>O equipamento deve possuir rodízios, para facilitar o deslocamento;</w:t>
      </w:r>
    </w:p>
    <w:p w14:paraId="01167E37" w14:textId="77777777" w:rsidR="00D14701" w:rsidRPr="000D79B8" w:rsidRDefault="00D14701">
      <w:pPr>
        <w:pStyle w:val="Nivel2"/>
        <w:numPr>
          <w:ilvl w:val="0"/>
          <w:numId w:val="0"/>
        </w:numPr>
        <w:ind w:left="360"/>
        <w:rPr>
          <w:rFonts w:ascii="Times New Roman" w:hAnsi="Times New Roman" w:cs="Times New Roman"/>
          <w:sz w:val="24"/>
          <w:szCs w:val="24"/>
        </w:rPr>
      </w:pPr>
    </w:p>
    <w:p w14:paraId="56F4B129" w14:textId="77777777" w:rsidR="00D14701" w:rsidRPr="000D79B8" w:rsidRDefault="00477D65">
      <w:pPr>
        <w:spacing w:line="276" w:lineRule="auto"/>
        <w:ind w:left="-426"/>
        <w:jc w:val="both"/>
        <w:rPr>
          <w:rFonts w:ascii="Times New Roman" w:eastAsia="Arial" w:hAnsi="Times New Roman" w:cs="Times New Roman"/>
        </w:rPr>
      </w:pPr>
      <w:r w:rsidRPr="000D79B8">
        <w:rPr>
          <w:rFonts w:ascii="Times New Roman" w:eastAsia="Arial" w:hAnsi="Times New Roman" w:cs="Times New Roman"/>
          <w:b/>
          <w:bCs/>
          <w:u w:val="single"/>
        </w:rPr>
        <w:t>CARACTERISTICAS OPERACIONAIS:</w:t>
      </w:r>
    </w:p>
    <w:p w14:paraId="043D600B" w14:textId="77777777" w:rsidR="00D14701" w:rsidRPr="000D79B8" w:rsidRDefault="00D14701">
      <w:pPr>
        <w:spacing w:line="276" w:lineRule="auto"/>
        <w:jc w:val="both"/>
        <w:rPr>
          <w:rFonts w:ascii="Times New Roman" w:eastAsia="Arial" w:hAnsi="Times New Roman" w:cs="Times New Roman"/>
        </w:rPr>
      </w:pPr>
    </w:p>
    <w:p w14:paraId="419A4563"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capacidade de operação em regime ininterrupto de funcionamento (24 horas por dia);</w:t>
      </w:r>
    </w:p>
    <w:p w14:paraId="5664B411"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alimentação: 110 ou 230 V AC +10%/-15%, 50/60Hz +/- 3Hz, monofásica ou bivolt; </w:t>
      </w:r>
    </w:p>
    <w:p w14:paraId="705CC67E"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operar em ambientes com temperatura entre 0º a 40°C;</w:t>
      </w:r>
    </w:p>
    <w:p w14:paraId="3237B334"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possibilitar gravação do conteúdo das imagens em arquivo próprio, permitindo ser exportado e importado; </w:t>
      </w:r>
    </w:p>
    <w:p w14:paraId="1DE2AD3B"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função de auto diagnóstico, para facilidade de manutenção;</w:t>
      </w:r>
    </w:p>
    <w:p w14:paraId="1C1C7405"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botões para desligamento do sistema, em caso de emergência; </w:t>
      </w:r>
    </w:p>
    <w:p w14:paraId="0A9BB784"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sinalização visual ao público, durante a emissão de Raio-X; </w:t>
      </w:r>
    </w:p>
    <w:p w14:paraId="12DBF250"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lastRenderedPageBreak/>
        <w:t xml:space="preserve">Possuir cortinas em tiras, impregnadas de material </w:t>
      </w:r>
      <w:proofErr w:type="spellStart"/>
      <w:r w:rsidRPr="000D79B8">
        <w:rPr>
          <w:rFonts w:ascii="Times New Roman" w:eastAsia="Arial" w:hAnsi="Times New Roman" w:cs="Times New Roman"/>
        </w:rPr>
        <w:t>plumbífero</w:t>
      </w:r>
      <w:proofErr w:type="spellEnd"/>
      <w:r w:rsidRPr="000D79B8">
        <w:rPr>
          <w:rFonts w:ascii="Times New Roman" w:eastAsia="Arial" w:hAnsi="Times New Roman" w:cs="Times New Roman"/>
        </w:rPr>
        <w:t>, instaladas na entrada e na saída do túnel de escaneamento do equipamento, capazes de bloquear o vazamento de raios X e que não poderão interferir, sob qualquer condição, na formação e apresentação das imagens;</w:t>
      </w:r>
    </w:p>
    <w:p w14:paraId="1AEB92C0"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ser dotado de função de revisão de imagens, sendo que esta função possibilita a apresentação de, pelo menos, as últimas 20 imagens apresentadas na tela, sem a necessidade de retrocesso na esteira, ou mesmo a repassagem do objeto pelo túnel; </w:t>
      </w:r>
    </w:p>
    <w:p w14:paraId="5A697F41"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Todas as funções de processamento de imagens do equipamento devem poder operar de forma simultânea; </w:t>
      </w:r>
    </w:p>
    <w:p w14:paraId="1C43C099"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controle de acesso do sistema deve ser superior a 3 (três) níveis: Operação, Supervisão e Serviço (manutenção), e cada um destes acessos libera funções específicas para cada nível; </w:t>
      </w:r>
    </w:p>
    <w:p w14:paraId="6E407B35"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ser fornecido com manuais em português do Brasil, abrangendo os níveis: Operador, Supervisor e Manutenção, contendo as características e especificações do equipamento; </w:t>
      </w:r>
    </w:p>
    <w:p w14:paraId="3AC380FD"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capacidade de modernização tecnológica (</w:t>
      </w:r>
      <w:proofErr w:type="spellStart"/>
      <w:r w:rsidRPr="000D79B8">
        <w:rPr>
          <w:rFonts w:ascii="Times New Roman" w:eastAsia="Arial" w:hAnsi="Times New Roman" w:cs="Times New Roman"/>
        </w:rPr>
        <w:t>up-grade</w:t>
      </w:r>
      <w:proofErr w:type="spellEnd"/>
      <w:r w:rsidRPr="000D79B8">
        <w:rPr>
          <w:rFonts w:ascii="Times New Roman" w:eastAsia="Arial" w:hAnsi="Times New Roman" w:cs="Times New Roman"/>
        </w:rPr>
        <w:t>), com novos componentes que venham a ser desenvolvidos pelo fabricante, objetivando melhorar o desempenho do equipamento;</w:t>
      </w:r>
    </w:p>
    <w:p w14:paraId="79383090"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A dose de Raio-X emitida pelo equipamento durante a inspeção deve ser limitada a um nível considerado inofensivo para o organismo humano, produtos alimentícios ou medicamentos e materiais sensíveis; </w:t>
      </w:r>
    </w:p>
    <w:p w14:paraId="7BAC0F87"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não deve interferir e nem sofrer interferência de qualquer natureza, nem mesmo eletromagnéticas ou eletrostáticas, de/ ou em aparelhos ou estruturas metálicas, situadas a uma distância maior ou igual a 0,5 metros destes; </w:t>
      </w:r>
    </w:p>
    <w:p w14:paraId="12DC9AC4"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função de supervisão, que indica ao operador a existência de falha, caso essa ocorra no sistema.</w:t>
      </w:r>
    </w:p>
    <w:p w14:paraId="342A1A42"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deverá ser capaz de integrar com o portal detector de metais específico, permitindo a visualização simultânea da imagem do objeto inspecionado e as zonas de detecção do portal detector de metais, assim como os alarmes disparados. Tal facilidade permitirá a esta CONTRATANTE operar os dois equipamentos com eficácia e menor número de operadores. Tal comprovação deverá ser feita através de declaração do fabricante e/ou teste de amostra.</w:t>
      </w:r>
    </w:p>
    <w:p w14:paraId="4E3E33A3"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permite que a esteira transportadora possa operar nos dois sentidos e realizar a detecção em qualquer direção.</w:t>
      </w:r>
    </w:p>
    <w:p w14:paraId="434FD001" w14:textId="77777777" w:rsidR="00D14701" w:rsidRPr="000D79B8" w:rsidRDefault="00477D65">
      <w:pPr>
        <w:pStyle w:val="Default"/>
        <w:numPr>
          <w:ilvl w:val="0"/>
          <w:numId w:val="27"/>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deverá permitir também login do operador por meio de reconhecimento biométrico (digital);</w:t>
      </w:r>
    </w:p>
    <w:p w14:paraId="67EB7D65" w14:textId="77777777" w:rsidR="00D14701" w:rsidRPr="000D79B8" w:rsidRDefault="00477D65">
      <w:pPr>
        <w:pStyle w:val="PargrafodaLista"/>
        <w:numPr>
          <w:ilvl w:val="0"/>
          <w:numId w:val="27"/>
        </w:numPr>
        <w:spacing w:line="276" w:lineRule="auto"/>
        <w:ind w:left="0"/>
        <w:contextualSpacing w:val="0"/>
        <w:jc w:val="both"/>
        <w:rPr>
          <w:rFonts w:ascii="Times New Roman" w:eastAsia="Arial" w:hAnsi="Times New Roman" w:cs="Times New Roman"/>
        </w:rPr>
      </w:pPr>
      <w:r w:rsidRPr="000D79B8">
        <w:rPr>
          <w:rFonts w:ascii="Times New Roman" w:eastAsia="Arial" w:hAnsi="Times New Roman" w:cs="Times New Roman"/>
        </w:rPr>
        <w:t>O equipamento deverá contar com transmissão em tempo real das inspeções via protocolo ONVIF, para permitir a integração com Sistemas de Gerenciamento de Vídeo (VMS, do inglês Vídeo Management System) utilizado em algumas unidades da Justiça Federal. Por ser um padrão de protocolo amplamente utilizado no setor de segurança, é compatível com a maioria dos sistemas de monitoramento remoto. Com isso será possível gravar e armazenar cada inspeção, além de permitir visualizar em tempo real as inspeções ou assistir inspeções anteriores através do VMS utilizado em algumas unidades da Justiça Federal Isso proporcionará maior grau de segurança aos usuários, uma vez que, cada inspeção terá outros níveis de verificação.</w:t>
      </w:r>
    </w:p>
    <w:p w14:paraId="50366D06" w14:textId="77777777" w:rsidR="00D14701" w:rsidRPr="000D79B8" w:rsidRDefault="00D14701">
      <w:pPr>
        <w:pStyle w:val="PargrafodaLista"/>
        <w:spacing w:line="276" w:lineRule="auto"/>
        <w:ind w:left="0"/>
        <w:contextualSpacing w:val="0"/>
        <w:jc w:val="both"/>
        <w:rPr>
          <w:rFonts w:ascii="Times New Roman" w:eastAsia="Arial" w:hAnsi="Times New Roman" w:cs="Times New Roman"/>
        </w:rPr>
      </w:pPr>
    </w:p>
    <w:p w14:paraId="53015725" w14:textId="77777777" w:rsidR="00D14701" w:rsidRPr="000D79B8" w:rsidRDefault="00477D65">
      <w:pPr>
        <w:pStyle w:val="PargrafodaLista"/>
        <w:numPr>
          <w:ilvl w:val="1"/>
          <w:numId w:val="27"/>
        </w:numPr>
        <w:spacing w:line="276" w:lineRule="auto"/>
        <w:ind w:left="0" w:hanging="283"/>
        <w:contextualSpacing w:val="0"/>
        <w:jc w:val="both"/>
        <w:rPr>
          <w:rFonts w:ascii="Times New Roman" w:eastAsia="Arial" w:hAnsi="Times New Roman" w:cs="Times New Roman"/>
        </w:rPr>
      </w:pPr>
      <w:r w:rsidRPr="000D79B8">
        <w:rPr>
          <w:rFonts w:ascii="Times New Roman" w:eastAsia="Arial" w:hAnsi="Times New Roman" w:cs="Times New Roman"/>
        </w:rPr>
        <w:t xml:space="preserve">Será de responsabilidade desta CONTRATANTE, </w:t>
      </w:r>
      <w:proofErr w:type="spellStart"/>
      <w:r w:rsidRPr="000D79B8">
        <w:rPr>
          <w:rFonts w:ascii="Times New Roman" w:eastAsia="Arial" w:hAnsi="Times New Roman" w:cs="Times New Roman"/>
        </w:rPr>
        <w:t>fornecer</w:t>
      </w:r>
      <w:proofErr w:type="spellEnd"/>
      <w:r w:rsidRPr="000D79B8">
        <w:rPr>
          <w:rFonts w:ascii="Times New Roman" w:eastAsia="Arial" w:hAnsi="Times New Roman" w:cs="Times New Roman"/>
        </w:rPr>
        <w:t xml:space="preserve"> toda a infraestrutura de rede para integração da solução.</w:t>
      </w:r>
    </w:p>
    <w:p w14:paraId="757909B8" w14:textId="77777777" w:rsidR="00D14701" w:rsidRPr="000D79B8" w:rsidRDefault="00D14701">
      <w:pPr>
        <w:spacing w:line="276" w:lineRule="auto"/>
        <w:jc w:val="both"/>
        <w:rPr>
          <w:rFonts w:ascii="Times New Roman" w:eastAsia="Arial" w:hAnsi="Times New Roman" w:cs="Times New Roman"/>
        </w:rPr>
      </w:pPr>
    </w:p>
    <w:p w14:paraId="3F76CB89"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b/>
          <w:bCs/>
          <w:u w:val="single"/>
        </w:rPr>
        <w:t>CARACTERÍSTICAS DA FONTE GERADORA DE RAIOS X:</w:t>
      </w:r>
    </w:p>
    <w:p w14:paraId="4B6B0BA1" w14:textId="77777777" w:rsidR="00D14701" w:rsidRPr="000D79B8" w:rsidRDefault="00D14701">
      <w:pPr>
        <w:spacing w:line="276" w:lineRule="auto"/>
        <w:jc w:val="both"/>
        <w:rPr>
          <w:rFonts w:ascii="Times New Roman" w:eastAsia="Arial" w:hAnsi="Times New Roman" w:cs="Times New Roman"/>
        </w:rPr>
      </w:pPr>
    </w:p>
    <w:p w14:paraId="64A9F68E" w14:textId="77777777" w:rsidR="00D14701" w:rsidRPr="000D79B8" w:rsidRDefault="00477D65">
      <w:pPr>
        <w:pStyle w:val="Default"/>
        <w:numPr>
          <w:ilvl w:val="0"/>
          <w:numId w:val="28"/>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tensão anódica do gerador de Raio-X mínima de 140Kv e corrente máxima 1mA;</w:t>
      </w:r>
    </w:p>
    <w:p w14:paraId="676481F8" w14:textId="77777777" w:rsidR="00D14701" w:rsidRPr="000D79B8" w:rsidRDefault="00477D65">
      <w:pPr>
        <w:pStyle w:val="Default"/>
        <w:numPr>
          <w:ilvl w:val="0"/>
          <w:numId w:val="28"/>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dose de Raio-X compatível com as normas estabelecidas pela CNEN. Deverá possuir dose típica por inspeção inferior a 0,1 </w:t>
      </w:r>
      <w:proofErr w:type="spellStart"/>
      <w:r w:rsidRPr="000D79B8">
        <w:rPr>
          <w:rFonts w:ascii="Times New Roman" w:eastAsia="Arial" w:hAnsi="Times New Roman" w:cs="Times New Roman"/>
        </w:rPr>
        <w:t>mR</w:t>
      </w:r>
      <w:proofErr w:type="spellEnd"/>
      <w:r w:rsidRPr="000D79B8">
        <w:rPr>
          <w:rFonts w:ascii="Times New Roman" w:eastAsia="Arial" w:hAnsi="Times New Roman" w:cs="Times New Roman"/>
        </w:rPr>
        <w:t>/h e Vazamento máximo de radiação inferior a 1microSv/h a uma distância de 0,1m de qualquer superfície acessível do equipamento, conforme regulamentações estabelecidas pela norma CNEN, NN 3.01 e Posição Regulatória 3.01/001.</w:t>
      </w:r>
    </w:p>
    <w:p w14:paraId="15DB05E0" w14:textId="77777777" w:rsidR="00D14701" w:rsidRPr="000D79B8" w:rsidRDefault="00477D65">
      <w:pPr>
        <w:pStyle w:val="Default"/>
        <w:numPr>
          <w:ilvl w:val="0"/>
          <w:numId w:val="28"/>
        </w:numPr>
        <w:spacing w:line="276" w:lineRule="auto"/>
        <w:ind w:left="0" w:hanging="426"/>
        <w:jc w:val="both"/>
        <w:rPr>
          <w:rFonts w:ascii="Times New Roman" w:eastAsia="Arial" w:hAnsi="Times New Roman" w:cs="Times New Roman"/>
        </w:rPr>
      </w:pPr>
      <w:r w:rsidRPr="000D79B8">
        <w:rPr>
          <w:rFonts w:ascii="Times New Roman" w:eastAsia="Arial" w:hAnsi="Times New Roman" w:cs="Times New Roman"/>
        </w:rPr>
        <w:t xml:space="preserve">O equipamento deve atender todas as normas do CNEN, especialmente quanto à Licença de Importação e à Isenção de Requisitos de Proteção Radiológica, de acordo com a Posição Regulatória 3.01/001 (Critérios de Exclusão, Isenção e Dispensa de Requisitos de Proteção Radiológica) da Norma CNEN-NN-3.01 “Diretrizes Básicas de Proteção Radiológica”; </w:t>
      </w:r>
    </w:p>
    <w:p w14:paraId="0E7D22BE" w14:textId="77777777" w:rsidR="00D14701" w:rsidRPr="000D79B8" w:rsidRDefault="00D14701">
      <w:pPr>
        <w:pStyle w:val="Default"/>
        <w:spacing w:line="276" w:lineRule="auto"/>
        <w:ind w:hanging="426"/>
        <w:jc w:val="both"/>
        <w:rPr>
          <w:rFonts w:ascii="Times New Roman" w:eastAsia="Arial" w:hAnsi="Times New Roman" w:cs="Times New Roman"/>
        </w:rPr>
      </w:pPr>
    </w:p>
    <w:p w14:paraId="71AA879F" w14:textId="77777777" w:rsidR="00D14701" w:rsidRPr="000D79B8" w:rsidRDefault="00477D65">
      <w:pPr>
        <w:pStyle w:val="Default"/>
        <w:numPr>
          <w:ilvl w:val="1"/>
          <w:numId w:val="29"/>
        </w:numPr>
        <w:spacing w:line="276" w:lineRule="auto"/>
        <w:ind w:left="0" w:hanging="426"/>
        <w:jc w:val="both"/>
        <w:rPr>
          <w:rFonts w:ascii="Times New Roman" w:eastAsia="Arial" w:hAnsi="Times New Roman" w:cs="Times New Roman"/>
        </w:rPr>
      </w:pPr>
      <w:r w:rsidRPr="000D79B8">
        <w:rPr>
          <w:rFonts w:ascii="Times New Roman" w:eastAsia="Arial" w:hAnsi="Times New Roman" w:cs="Times New Roman"/>
        </w:rPr>
        <w:t xml:space="preserve">O equipamento, após instalação, será testado para comprovar o atendimento aos requisitos do Edital e a inexistência de radiações prejudiciais ou interferentes. Para cada equipamento deverá ser emitido um laudo técnico detalhado comprovando atendimento às normas da CNEN quanto à emissão de radiação, assinado por supervisor de proteção radiológica, devidamente credenciado pela CNEN; </w:t>
      </w:r>
    </w:p>
    <w:p w14:paraId="3621CC3C" w14:textId="77777777" w:rsidR="00D14701" w:rsidRPr="000D79B8" w:rsidRDefault="00D14701">
      <w:pPr>
        <w:spacing w:line="276" w:lineRule="auto"/>
        <w:jc w:val="both"/>
        <w:rPr>
          <w:rFonts w:ascii="Times New Roman" w:eastAsia="Arial" w:hAnsi="Times New Roman" w:cs="Times New Roman"/>
        </w:rPr>
      </w:pPr>
    </w:p>
    <w:p w14:paraId="49A4DBCF"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b/>
          <w:bCs/>
          <w:u w:val="single"/>
        </w:rPr>
        <w:t>CARACTERÍSTICAS DA UNIDADE DE PROCESSAMENTO:</w:t>
      </w:r>
    </w:p>
    <w:p w14:paraId="54916F03" w14:textId="77777777" w:rsidR="00D14701" w:rsidRPr="000D79B8" w:rsidRDefault="00D14701">
      <w:pPr>
        <w:spacing w:line="276" w:lineRule="auto"/>
        <w:jc w:val="both"/>
        <w:rPr>
          <w:rFonts w:ascii="Times New Roman" w:eastAsia="Arial" w:hAnsi="Times New Roman" w:cs="Times New Roman"/>
        </w:rPr>
      </w:pPr>
    </w:p>
    <w:p w14:paraId="6A5CA59F"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color w:val="FF0000"/>
        </w:rPr>
      </w:pPr>
      <w:r w:rsidRPr="000D79B8">
        <w:rPr>
          <w:rFonts w:ascii="Times New Roman" w:eastAsia="Arial" w:hAnsi="Times New Roman" w:cs="Times New Roman"/>
          <w:bCs/>
          <w:color w:val="000000" w:themeColor="text1"/>
        </w:rPr>
        <w:t xml:space="preserve">Deve possuir sistema operacional que usufrua de unidades de processamentos de no mínimo 64 BITS para gerenciar o funcionamento do escâner e a utilização das funcionalidades do equipamento conforme descritas neste Termo de Referência, sem interrupções ou diminuição de desempenho </w:t>
      </w:r>
      <w:r w:rsidRPr="000D79B8">
        <w:rPr>
          <w:rFonts w:ascii="Times New Roman" w:eastAsia="Arial" w:hAnsi="Times New Roman" w:cs="Times New Roman"/>
          <w:bCs/>
        </w:rPr>
        <w:t>deste e que permita a implementação de novas tecnologias e ou funcionalidades à solução.</w:t>
      </w:r>
    </w:p>
    <w:p w14:paraId="7F4AB54D" w14:textId="77777777" w:rsidR="00D14701" w:rsidRPr="000D79B8" w:rsidRDefault="00D14701">
      <w:pPr>
        <w:spacing w:line="276" w:lineRule="auto"/>
        <w:jc w:val="both"/>
        <w:rPr>
          <w:rFonts w:ascii="Times New Roman" w:eastAsia="Arial" w:hAnsi="Times New Roman" w:cs="Times New Roman"/>
        </w:rPr>
      </w:pPr>
    </w:p>
    <w:p w14:paraId="701A446E"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b/>
          <w:bCs/>
          <w:u w:val="single"/>
        </w:rPr>
        <w:t>CARACTERÍSTICAS DE VISUALIZAÇÃO DE IMAGEM:</w:t>
      </w:r>
    </w:p>
    <w:p w14:paraId="3AC01ABC" w14:textId="77777777" w:rsidR="00D14701" w:rsidRPr="000D79B8" w:rsidRDefault="00D14701">
      <w:pPr>
        <w:spacing w:line="276" w:lineRule="auto"/>
        <w:jc w:val="both"/>
        <w:rPr>
          <w:rFonts w:ascii="Times New Roman" w:eastAsia="Arial" w:hAnsi="Times New Roman" w:cs="Times New Roman"/>
        </w:rPr>
      </w:pPr>
    </w:p>
    <w:p w14:paraId="76CE71FD"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Os diferentes tipos de materiais devem ser apresentados distintamente com cores;</w:t>
      </w:r>
    </w:p>
    <w:p w14:paraId="68F7F2FD"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“zoom” igual ou superior a 64 vezes.</w:t>
      </w:r>
    </w:p>
    <w:p w14:paraId="0B31CC53"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garantir, por meio do sistema de detecção, uma imagem de qualidade de tal forma que os sinais de dados dos volumes sob inspeção possam receber tratamento microprocessado.</w:t>
      </w:r>
    </w:p>
    <w:p w14:paraId="10783BA9"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possibilitar a gravação de conteúdo das imagens em arquivo próprio, facilitando exportar e importar em meio magnético ou ótico removível;</w:t>
      </w:r>
    </w:p>
    <w:p w14:paraId="6F957C03"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apresentar imagem em preto e branco com diferenciação de material por tonalidade de cinza, gama variável, material orgânico, material inorgânico e vídeo reverso, </w:t>
      </w:r>
      <w:r w:rsidRPr="000D79B8">
        <w:rPr>
          <w:rFonts w:ascii="Times New Roman" w:eastAsia="Arial" w:hAnsi="Times New Roman" w:cs="Times New Roman"/>
        </w:rPr>
        <w:lastRenderedPageBreak/>
        <w:t>permitindo detalhes de resolução para todos os materiais e densidade, essas imagens serão disponibilizadas sem a necessidade de pré-ajustes no painel de controle do operador;</w:t>
      </w:r>
    </w:p>
    <w:p w14:paraId="54C37314"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O equipamento deve possuir recursos que permitam a utilização do equipamento de forma prática e direta, ou seja:</w:t>
      </w:r>
    </w:p>
    <w:p w14:paraId="6922A6FF" w14:textId="77777777" w:rsidR="00D14701" w:rsidRPr="000D79B8" w:rsidRDefault="00477D65">
      <w:pPr>
        <w:pStyle w:val="PargrafodaLista"/>
        <w:numPr>
          <w:ilvl w:val="2"/>
          <w:numId w:val="30"/>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Processar a inspeção em 100% dos volumes de forma completa, isto é, com imagem real, bem definida, sem cortes e facilmente reconhecível, mesmo com a sobreposição de objetos.</w:t>
      </w:r>
    </w:p>
    <w:p w14:paraId="716D7194" w14:textId="77777777" w:rsidR="00D14701" w:rsidRPr="000D79B8" w:rsidRDefault="00477D65">
      <w:pPr>
        <w:pStyle w:val="PargrafodaLista"/>
        <w:numPr>
          <w:ilvl w:val="2"/>
          <w:numId w:val="30"/>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Capacidade de retransmitir imagens para uma posição remota.</w:t>
      </w:r>
    </w:p>
    <w:p w14:paraId="0EAB3F04" w14:textId="77777777" w:rsidR="00D14701" w:rsidRPr="000D79B8" w:rsidRDefault="00477D65">
      <w:pPr>
        <w:pStyle w:val="PargrafodaLista"/>
        <w:numPr>
          <w:ilvl w:val="2"/>
          <w:numId w:val="30"/>
        </w:numPr>
        <w:spacing w:line="276" w:lineRule="auto"/>
        <w:ind w:left="0" w:hanging="425"/>
        <w:jc w:val="both"/>
        <w:rPr>
          <w:rFonts w:ascii="Times New Roman" w:eastAsia="Arial" w:hAnsi="Times New Roman" w:cs="Times New Roman"/>
        </w:rPr>
      </w:pPr>
      <w:r w:rsidRPr="000D79B8">
        <w:rPr>
          <w:rFonts w:ascii="Times New Roman" w:eastAsia="Arial" w:hAnsi="Times New Roman" w:cs="Times New Roman"/>
        </w:rPr>
        <w:t>Oferecer condições para a realização de inspeção em objetos diversos, rígidos ou não, incluídas as do tipo flexível, sem forma definida, mas apresentando ao operador o seu conteúdo de forma clara e com imagem de alta resolução.</w:t>
      </w:r>
    </w:p>
    <w:p w14:paraId="5A9D46DB"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possibilitar a exportação de imagens em formato comercial tipo JPEG, TIFF, BMP e em formato criptografado (segurança da informação) para um computador remoto ou para dispositivos comuns de gravação, tais como gravador de CDROM ou </w:t>
      </w:r>
      <w:proofErr w:type="spellStart"/>
      <w:r w:rsidRPr="000D79B8">
        <w:rPr>
          <w:rFonts w:ascii="Times New Roman" w:eastAsia="Arial" w:hAnsi="Times New Roman" w:cs="Times New Roman"/>
        </w:rPr>
        <w:t>pendrive</w:t>
      </w:r>
      <w:proofErr w:type="spellEnd"/>
      <w:r w:rsidRPr="000D79B8">
        <w:rPr>
          <w:rFonts w:ascii="Times New Roman" w:eastAsia="Arial" w:hAnsi="Times New Roman" w:cs="Times New Roman"/>
        </w:rPr>
        <w:t xml:space="preserve">, bem como a emissão de relatórios de dados do operador, histórico, quantidade de itens inspecionados, data e hora da inspeção e, também de falhas apresentadas pelo equipamento; </w:t>
      </w:r>
    </w:p>
    <w:p w14:paraId="5EB4278F"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disponibilizar as seguintes funções em tempo real (instantâneo), sem a necessidade de parar a esteira: </w:t>
      </w:r>
    </w:p>
    <w:p w14:paraId="405E7749" w14:textId="77777777" w:rsidR="00D14701" w:rsidRPr="000D79B8" w:rsidRDefault="00D14701">
      <w:pPr>
        <w:pStyle w:val="Default"/>
        <w:spacing w:line="276" w:lineRule="auto"/>
        <w:jc w:val="both"/>
        <w:rPr>
          <w:rFonts w:ascii="Times New Roman" w:eastAsia="Arial" w:hAnsi="Times New Roman" w:cs="Times New Roman"/>
        </w:rPr>
      </w:pPr>
    </w:p>
    <w:p w14:paraId="0312F94D"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a) Somente orgânicos (onde serão apresentados em tela somente os materiais orgânicos ou híbridos), </w:t>
      </w:r>
    </w:p>
    <w:p w14:paraId="09F2A0EB"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b) Somente inorgânicos (onde serão apresentados em tela somente os materiais inorgânicos ou híbridos), </w:t>
      </w:r>
    </w:p>
    <w:p w14:paraId="3C1415B7"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c) Alta absorção (onde objetos nos quais é mais difícil a penetração, têm o seu contraste aumentado, para facilitar a sua identificação), </w:t>
      </w:r>
    </w:p>
    <w:p w14:paraId="6991DCBE"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d) Baixa absorção (onde objetos de mais fácil penetração têm seu contraste diminuído, para facilitar sua identificação), </w:t>
      </w:r>
    </w:p>
    <w:p w14:paraId="1BCE5CB0"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e) Negativo (onde se é possível inverter a absorção, sendo que objetos de alta absorção e baixa absorção têm seu contraste invertido facilitando, com isto, a visualização de fios finos).</w:t>
      </w:r>
    </w:p>
    <w:p w14:paraId="56C6827C" w14:textId="77777777" w:rsidR="00D14701" w:rsidRPr="000D79B8" w:rsidRDefault="00D14701">
      <w:pPr>
        <w:pStyle w:val="Default"/>
        <w:spacing w:line="276" w:lineRule="auto"/>
        <w:jc w:val="both"/>
        <w:rPr>
          <w:rFonts w:ascii="Times New Roman" w:eastAsia="Arial" w:hAnsi="Times New Roman" w:cs="Times New Roman"/>
        </w:rPr>
      </w:pPr>
    </w:p>
    <w:p w14:paraId="1888B1E1"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contraste otimizado que auxilia o operador na avaliação de imagens de Raio-X de objetos inspecionados de uma forma mais rápida e mais efetiva. O contraste otimizado é atingido através de toda a imagem, independentemente do brilho da imagem prevalecente; </w:t>
      </w:r>
    </w:p>
    <w:p w14:paraId="4F1CCE9E" w14:textId="77777777" w:rsidR="00D14701" w:rsidRPr="000D79B8" w:rsidRDefault="00477D65">
      <w:pPr>
        <w:pStyle w:val="Default"/>
        <w:numPr>
          <w:ilvl w:val="0"/>
          <w:numId w:val="31"/>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função de reconhecimento automático de áreas com alta absorção de Raio-X, complementar à função de alta absorção padrão do equipamento. Facilita a identificação de objetos escondidos atrás de objetos de alta absorção, ao tempo que mantém o restante da encomenda inalterado; </w:t>
      </w:r>
    </w:p>
    <w:p w14:paraId="1F2F60FC" w14:textId="77777777" w:rsidR="00D14701" w:rsidRPr="000D79B8" w:rsidRDefault="00477D65">
      <w:pPr>
        <w:numPr>
          <w:ilvl w:val="0"/>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t xml:space="preserve">O equipamento de inspeção de volumes deve possuir funcionalidade de análise automática de imagem, baseado em redes neurais </w:t>
      </w:r>
      <w:proofErr w:type="spellStart"/>
      <w:r w:rsidRPr="000D79B8">
        <w:rPr>
          <w:rFonts w:ascii="Times New Roman" w:eastAsia="Arial" w:hAnsi="Times New Roman" w:cs="Times New Roman"/>
        </w:rPr>
        <w:t>convolucionais</w:t>
      </w:r>
      <w:proofErr w:type="spellEnd"/>
      <w:r w:rsidRPr="000D79B8">
        <w:rPr>
          <w:rFonts w:ascii="Times New Roman" w:eastAsia="Arial" w:hAnsi="Times New Roman" w:cs="Times New Roman"/>
        </w:rPr>
        <w:t xml:space="preserve"> com no mínimo as seguintes características:</w:t>
      </w:r>
    </w:p>
    <w:p w14:paraId="77A8785D" w14:textId="77777777" w:rsidR="00D14701" w:rsidRPr="000D79B8" w:rsidRDefault="00D14701">
      <w:pPr>
        <w:spacing w:line="276" w:lineRule="auto"/>
        <w:contextualSpacing/>
        <w:jc w:val="both"/>
        <w:rPr>
          <w:rFonts w:ascii="Times New Roman" w:eastAsia="Arial" w:hAnsi="Times New Roman" w:cs="Times New Roman"/>
        </w:rPr>
      </w:pPr>
    </w:p>
    <w:p w14:paraId="151E794E" w14:textId="77777777" w:rsidR="00D14701" w:rsidRPr="000D79B8" w:rsidRDefault="00477D65">
      <w:pPr>
        <w:numPr>
          <w:ilvl w:val="1"/>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t>Estar totalmente integrada ao equipamento de inspeção, não necessitando de monitor adicional para o seu pleno funcionamento;</w:t>
      </w:r>
    </w:p>
    <w:p w14:paraId="4D206001" w14:textId="77777777" w:rsidR="00D14701" w:rsidRPr="000D79B8" w:rsidRDefault="00477D65">
      <w:pPr>
        <w:numPr>
          <w:ilvl w:val="1"/>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lastRenderedPageBreak/>
        <w:t>O software deve identificar automaticamente no mínimo os objetos das seguintes classes: Facas, armas de fogo, celulares e líquidos;</w:t>
      </w:r>
    </w:p>
    <w:p w14:paraId="6E0FE8D1" w14:textId="77777777" w:rsidR="00D14701" w:rsidRPr="000D79B8" w:rsidRDefault="00477D65">
      <w:pPr>
        <w:numPr>
          <w:ilvl w:val="1"/>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t>A funcionalidade de análise automatizada de imagem deve possuir velocidade de processamento com tempo de resposta inferior a 1,5 segundos após o término da inspeção;</w:t>
      </w:r>
    </w:p>
    <w:p w14:paraId="73638DB0" w14:textId="77777777" w:rsidR="00D14701" w:rsidRPr="000D79B8" w:rsidRDefault="00477D65">
      <w:pPr>
        <w:numPr>
          <w:ilvl w:val="1"/>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t>Deve realizar a marcação automática dos objetos identificados na tela de operação, destacando o objeto identificado na tela com texto informando a classe do mesmo;</w:t>
      </w:r>
    </w:p>
    <w:p w14:paraId="4D3F8B34" w14:textId="77777777" w:rsidR="00D14701" w:rsidRPr="000D79B8" w:rsidRDefault="00477D65">
      <w:pPr>
        <w:numPr>
          <w:ilvl w:val="1"/>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t>O software deve possuir no menu de configurações, acessível somente para o usuário de nível administrador, a opção de habilitar ou desabilitar individualmente a marcação automática de cada classe de objetos que irão ser identificados na tela;</w:t>
      </w:r>
    </w:p>
    <w:p w14:paraId="19CC23E2" w14:textId="77777777" w:rsidR="00D14701" w:rsidRPr="000D79B8" w:rsidRDefault="00477D65">
      <w:pPr>
        <w:numPr>
          <w:ilvl w:val="1"/>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t>O software deve possuir um botão na tela de operação que permita exibir ou ocultar as marcações;</w:t>
      </w:r>
    </w:p>
    <w:p w14:paraId="47894E59" w14:textId="77777777" w:rsidR="00D14701" w:rsidRPr="000D79B8" w:rsidRDefault="00477D65">
      <w:pPr>
        <w:numPr>
          <w:ilvl w:val="1"/>
          <w:numId w:val="31"/>
        </w:numPr>
        <w:spacing w:line="276" w:lineRule="auto"/>
        <w:ind w:left="0"/>
        <w:contextualSpacing/>
        <w:jc w:val="both"/>
        <w:rPr>
          <w:rFonts w:ascii="Times New Roman" w:eastAsia="Arial" w:hAnsi="Times New Roman" w:cs="Times New Roman"/>
        </w:rPr>
      </w:pPr>
      <w:r w:rsidRPr="000D79B8">
        <w:rPr>
          <w:rFonts w:ascii="Times New Roman" w:eastAsia="Arial" w:hAnsi="Times New Roman" w:cs="Times New Roman"/>
        </w:rPr>
        <w:t xml:space="preserve"> Somente o administrador deve possuir acesso para alterar as cores das marcações para cada classe de objetos;</w:t>
      </w:r>
    </w:p>
    <w:p w14:paraId="798F7D7A" w14:textId="77777777" w:rsidR="00D14701" w:rsidRPr="000D79B8" w:rsidRDefault="00477D65">
      <w:pPr>
        <w:numPr>
          <w:ilvl w:val="1"/>
          <w:numId w:val="31"/>
        </w:numPr>
        <w:spacing w:before="100" w:beforeAutospacing="1" w:after="100" w:afterAutospacing="1" w:line="276" w:lineRule="auto"/>
        <w:ind w:left="0"/>
        <w:jc w:val="both"/>
        <w:rPr>
          <w:rFonts w:ascii="Times New Roman" w:eastAsia="Arial" w:hAnsi="Times New Roman" w:cs="Times New Roman"/>
        </w:rPr>
      </w:pPr>
      <w:r w:rsidRPr="000D79B8">
        <w:rPr>
          <w:rFonts w:ascii="Times New Roman" w:eastAsia="Arial" w:hAnsi="Times New Roman" w:cs="Times New Roman"/>
        </w:rPr>
        <w:t>A CONTRATADA deve manter esta funcionalidade atualizada durante todo o período de garantia.</w:t>
      </w:r>
    </w:p>
    <w:p w14:paraId="10CDA6A9"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b/>
          <w:bCs/>
        </w:rPr>
        <w:t>CARACTERÍSTICAS DE DETECÇÃO:</w:t>
      </w:r>
    </w:p>
    <w:p w14:paraId="3C7F6641" w14:textId="77777777" w:rsidR="00D14701" w:rsidRPr="000D79B8" w:rsidRDefault="00D14701">
      <w:pPr>
        <w:spacing w:line="276" w:lineRule="auto"/>
        <w:jc w:val="both"/>
        <w:rPr>
          <w:rFonts w:ascii="Times New Roman" w:eastAsia="Arial" w:hAnsi="Times New Roman" w:cs="Times New Roman"/>
        </w:rPr>
      </w:pPr>
    </w:p>
    <w:p w14:paraId="7E82A2AD" w14:textId="77777777" w:rsidR="00D14701" w:rsidRPr="000D79B8" w:rsidRDefault="00477D65">
      <w:pPr>
        <w:pStyle w:val="Default"/>
        <w:numPr>
          <w:ilvl w:val="0"/>
          <w:numId w:val="32"/>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Resolução de fio capaz de detectar o fio de 40AWG; </w:t>
      </w:r>
    </w:p>
    <w:p w14:paraId="74A7C998" w14:textId="77777777" w:rsidR="00D14701" w:rsidRPr="000D79B8" w:rsidRDefault="00477D65">
      <w:pPr>
        <w:pStyle w:val="Default"/>
        <w:numPr>
          <w:ilvl w:val="0"/>
          <w:numId w:val="32"/>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penetração simples em aço de 34 mm (trinta e quatro milímetros) a ser comprovada através de manual do fabricante; </w:t>
      </w:r>
    </w:p>
    <w:p w14:paraId="63EDCB12" w14:textId="77777777" w:rsidR="00D14701" w:rsidRPr="000D79B8" w:rsidRDefault="00D14701">
      <w:pPr>
        <w:spacing w:line="276" w:lineRule="auto"/>
        <w:jc w:val="both"/>
        <w:rPr>
          <w:rFonts w:ascii="Times New Roman" w:eastAsia="Arial" w:hAnsi="Times New Roman" w:cs="Times New Roman"/>
        </w:rPr>
      </w:pPr>
    </w:p>
    <w:p w14:paraId="34945F4F"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b/>
          <w:bCs/>
        </w:rPr>
        <w:t>ACESSÓRIOS:</w:t>
      </w:r>
    </w:p>
    <w:p w14:paraId="3B193783" w14:textId="77777777" w:rsidR="00D14701" w:rsidRPr="000D79B8" w:rsidRDefault="00D14701">
      <w:pPr>
        <w:spacing w:line="276" w:lineRule="auto"/>
        <w:jc w:val="both"/>
        <w:rPr>
          <w:rFonts w:ascii="Times New Roman" w:eastAsia="Arial" w:hAnsi="Times New Roman" w:cs="Times New Roman"/>
        </w:rPr>
      </w:pPr>
    </w:p>
    <w:p w14:paraId="51735FF3" w14:textId="77777777" w:rsidR="00D14701" w:rsidRPr="000D79B8" w:rsidRDefault="00477D65">
      <w:pPr>
        <w:pStyle w:val="Default"/>
        <w:numPr>
          <w:ilvl w:val="0"/>
          <w:numId w:val="32"/>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O equipamento deve possuir uma mesa de roletes como extensões das esteiras, com as seguintes características mínimas: </w:t>
      </w:r>
    </w:p>
    <w:p w14:paraId="5234D26E" w14:textId="77777777" w:rsidR="00D14701" w:rsidRPr="000D79B8" w:rsidRDefault="00D14701">
      <w:pPr>
        <w:pStyle w:val="Default"/>
        <w:spacing w:line="276" w:lineRule="auto"/>
        <w:jc w:val="both"/>
        <w:rPr>
          <w:rFonts w:ascii="Times New Roman" w:eastAsia="Arial" w:hAnsi="Times New Roman" w:cs="Times New Roman"/>
        </w:rPr>
      </w:pPr>
    </w:p>
    <w:p w14:paraId="4F79A80B"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a) Estrutura independente, não fixada no equipamento de raios-x, </w:t>
      </w:r>
    </w:p>
    <w:p w14:paraId="09307EEC"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b) Estrutura resistente a cargas de, no mínimo, 100 kg, construída com material inoxidável ou pintura eletrostática, </w:t>
      </w:r>
    </w:p>
    <w:p w14:paraId="2481DDCE"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c) Comprimento de 1000mm, na entrada e na saída do túnel, </w:t>
      </w:r>
    </w:p>
    <w:p w14:paraId="2526F8E9"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d) Altura regulável nas extremidades, </w:t>
      </w:r>
    </w:p>
    <w:p w14:paraId="6327CAA6"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e) Roletes instalados em toda a sua extensão, construídos com material inoxidável ou material de resistência equivalente e de fácil remoção. </w:t>
      </w:r>
    </w:p>
    <w:p w14:paraId="08963181"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f) Dispositivo que possibilite o ajuste de proximidade da esteira do equipamento com a extensão, </w:t>
      </w:r>
    </w:p>
    <w:p w14:paraId="04F5C442"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g) Proteções laterais, para evitar que as bagagens caiam da esteira, </w:t>
      </w:r>
    </w:p>
    <w:p w14:paraId="6376D9C3"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h) Batente no final da esteira de saída. </w:t>
      </w:r>
    </w:p>
    <w:p w14:paraId="618CFA1C" w14:textId="77777777" w:rsidR="00D14701" w:rsidRPr="000D79B8" w:rsidRDefault="00477D65">
      <w:pPr>
        <w:pStyle w:val="Default"/>
        <w:spacing w:line="276" w:lineRule="auto"/>
        <w:jc w:val="both"/>
        <w:rPr>
          <w:rFonts w:ascii="Times New Roman" w:eastAsia="Arial" w:hAnsi="Times New Roman" w:cs="Times New Roman"/>
        </w:rPr>
      </w:pPr>
      <w:r w:rsidRPr="000D79B8">
        <w:rPr>
          <w:rFonts w:ascii="Times New Roman" w:eastAsia="Arial" w:hAnsi="Times New Roman" w:cs="Times New Roman"/>
        </w:rPr>
        <w:t>I) O primeiro rolete, do lado localizado próximo a esteira, é apenas encaixado como medida de segurança;</w:t>
      </w:r>
    </w:p>
    <w:p w14:paraId="7863F011" w14:textId="77777777" w:rsidR="00D14701" w:rsidRPr="000D79B8" w:rsidRDefault="00D14701">
      <w:pPr>
        <w:pStyle w:val="Default"/>
        <w:spacing w:line="276" w:lineRule="auto"/>
        <w:jc w:val="both"/>
        <w:rPr>
          <w:rFonts w:ascii="Times New Roman" w:eastAsia="Arial" w:hAnsi="Times New Roman" w:cs="Times New Roman"/>
        </w:rPr>
      </w:pPr>
    </w:p>
    <w:p w14:paraId="2CFDAB98" w14:textId="77777777" w:rsidR="00D14701" w:rsidRPr="000D79B8" w:rsidRDefault="00477D65">
      <w:pPr>
        <w:pStyle w:val="Default"/>
        <w:numPr>
          <w:ilvl w:val="0"/>
          <w:numId w:val="32"/>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lastRenderedPageBreak/>
        <w:t>O sistema deverá possuir nobreak de alimentação bivolt, eventualmente com bateria externa, com capacidade suficiente para suportar a operação total da solução, tendo uma autonomia mínima, nessa situação, de 10 (dez) minutos em operação, compatível com a potência do equipamento.</w:t>
      </w:r>
    </w:p>
    <w:p w14:paraId="1AACC3F5" w14:textId="77777777" w:rsidR="00D14701" w:rsidRPr="000D79B8" w:rsidRDefault="00D14701">
      <w:pPr>
        <w:pStyle w:val="Default"/>
        <w:spacing w:line="276" w:lineRule="auto"/>
        <w:jc w:val="both"/>
        <w:rPr>
          <w:rFonts w:ascii="Times New Roman" w:eastAsia="Arial" w:hAnsi="Times New Roman" w:cs="Times New Roman"/>
        </w:rPr>
      </w:pPr>
    </w:p>
    <w:p w14:paraId="70E64A65" w14:textId="77777777" w:rsidR="00D14701" w:rsidRPr="000D79B8" w:rsidRDefault="00D14701">
      <w:pPr>
        <w:pStyle w:val="Default"/>
        <w:spacing w:line="276" w:lineRule="auto"/>
        <w:jc w:val="both"/>
        <w:rPr>
          <w:rFonts w:ascii="Times New Roman" w:eastAsia="Arial" w:hAnsi="Times New Roman" w:cs="Times New Roman"/>
        </w:rPr>
      </w:pPr>
    </w:p>
    <w:p w14:paraId="4DC0EDF7" w14:textId="77777777" w:rsidR="00D14701" w:rsidRPr="000D79B8" w:rsidRDefault="00477D65">
      <w:pPr>
        <w:widowControl w:val="0"/>
        <w:jc w:val="both"/>
        <w:rPr>
          <w:rFonts w:ascii="Times New Roman" w:eastAsia="Arial" w:hAnsi="Times New Roman" w:cs="Times New Roman"/>
          <w:color w:val="000000"/>
        </w:rPr>
      </w:pPr>
      <w:r w:rsidRPr="000D79B8">
        <w:rPr>
          <w:rFonts w:ascii="Times New Roman" w:eastAsia="Arial" w:hAnsi="Times New Roman" w:cs="Times New Roman"/>
          <w:b/>
          <w:color w:val="000000"/>
          <w:u w:val="single"/>
        </w:rPr>
        <w:t>CARACTERÍSTICAS DO PORTAL DETECTOR DE METAIS:</w:t>
      </w:r>
    </w:p>
    <w:p w14:paraId="7D75FE82" w14:textId="77777777" w:rsidR="00D14701" w:rsidRPr="000D79B8" w:rsidRDefault="00D14701">
      <w:pPr>
        <w:spacing w:line="360" w:lineRule="auto"/>
        <w:jc w:val="both"/>
        <w:rPr>
          <w:rFonts w:ascii="Times New Roman" w:eastAsia="Arial" w:hAnsi="Times New Roman" w:cs="Times New Roman"/>
          <w:color w:val="000000"/>
        </w:rPr>
      </w:pPr>
    </w:p>
    <w:p w14:paraId="32B1C301"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A estrutura do pórtico deve ser suficientemente robusta e resistente a impactos mecânicos como colisão, choque e pressões provocadas pelo tráfego de pessoas, e possuir dispositivo para fixação no piso imune à penetração de água; </w:t>
      </w:r>
    </w:p>
    <w:p w14:paraId="6892C7EA"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revestimento de materiais sintéticos de forma que, sujeitos a condições ambientais normais, não requeiram qualquer tipo de manutenção para eliminar corrosões, ou repinturas, e evitem a deterioração da superfície ao longo da vida útil; </w:t>
      </w:r>
    </w:p>
    <w:p w14:paraId="620C51F1"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Altura interna (vão livre): de 2,0m a 2,20m; </w:t>
      </w:r>
    </w:p>
    <w:p w14:paraId="0DB08703"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Largura interna (vão livre) entre os painéis: 0,76m a 0,85m; </w:t>
      </w:r>
    </w:p>
    <w:p w14:paraId="48382640"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Profundidade: 0,50m a 0,70m; </w:t>
      </w:r>
    </w:p>
    <w:p w14:paraId="2D204CE1"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Peso máximo: 80 Kg; </w:t>
      </w:r>
    </w:p>
    <w:p w14:paraId="4B320F3B"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Não possuir qualquer rampa de passagem para pessoas através do portal, ou estrutura similar com essa finalidade; </w:t>
      </w:r>
    </w:p>
    <w:p w14:paraId="5A7F2CD0"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Não possuir cantos ou pontas angulosas, pontiagudas ou afiadas, que possam causar danos em pessoas ou roupas; </w:t>
      </w:r>
    </w:p>
    <w:p w14:paraId="5BE7145B"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todos os componentes do equipamento padronizados e intercambiáveis; </w:t>
      </w:r>
    </w:p>
    <w:p w14:paraId="4B04DD5F"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grau de proteção IP55 garantindo proteção eficaz contra umidade e poeira presente no ambiente afim de evitar danos provenientes de corrosão ou sujeira.</w:t>
      </w:r>
    </w:p>
    <w:p w14:paraId="14AD5816"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painéis laváveis e indeformáveis dotados de bordas a prova de impactos proporcionando uma eficiente proteção mecânica e de umidade; </w:t>
      </w:r>
    </w:p>
    <w:p w14:paraId="5918FDE9" w14:textId="77777777" w:rsidR="00D14701" w:rsidRPr="000D79B8" w:rsidRDefault="00477D65">
      <w:pPr>
        <w:widowControl w:val="0"/>
        <w:numPr>
          <w:ilvl w:val="1"/>
          <w:numId w:val="33"/>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O equipamento deve ser homologado para uso em ambientes com presença de público (tais como tribunais, aeroportos ou portos) por órgão ou instituição nacional ou internacional reconhecida para tal fim. No caso de órgão ou instituição internacional deverá ser apresentado certificado devidamente traduzido por tradutor juramentado juntamente com o original. </w:t>
      </w:r>
    </w:p>
    <w:p w14:paraId="2ED1BD25" w14:textId="77777777" w:rsidR="00D14701" w:rsidRPr="000D79B8" w:rsidRDefault="00D14701">
      <w:pPr>
        <w:contextualSpacing/>
        <w:jc w:val="both"/>
        <w:rPr>
          <w:rFonts w:ascii="Times New Roman" w:eastAsia="Arial" w:hAnsi="Times New Roman" w:cs="Times New Roman"/>
        </w:rPr>
      </w:pPr>
    </w:p>
    <w:p w14:paraId="3F5204B1" w14:textId="77777777" w:rsidR="00D14701" w:rsidRPr="000D79B8" w:rsidRDefault="00477D65">
      <w:pPr>
        <w:contextualSpacing/>
        <w:jc w:val="both"/>
        <w:rPr>
          <w:rFonts w:ascii="Times New Roman" w:eastAsia="Arial" w:hAnsi="Times New Roman" w:cs="Times New Roman"/>
        </w:rPr>
      </w:pPr>
      <w:r w:rsidRPr="000D79B8">
        <w:rPr>
          <w:rFonts w:ascii="Times New Roman" w:eastAsia="Arial" w:hAnsi="Times New Roman" w:cs="Times New Roman"/>
          <w:b/>
          <w:lang w:eastAsia="ar-SA"/>
        </w:rPr>
        <w:t xml:space="preserve">CARACTERÍSTICAS ELÉTRICAS: </w:t>
      </w:r>
    </w:p>
    <w:p w14:paraId="488AC262" w14:textId="77777777" w:rsidR="00D14701" w:rsidRPr="000D79B8" w:rsidRDefault="00D14701">
      <w:pPr>
        <w:contextualSpacing/>
        <w:jc w:val="both"/>
        <w:rPr>
          <w:rFonts w:ascii="Times New Roman" w:eastAsia="Arial" w:hAnsi="Times New Roman" w:cs="Times New Roman"/>
        </w:rPr>
      </w:pPr>
    </w:p>
    <w:p w14:paraId="0E4FF967" w14:textId="77777777" w:rsidR="00D14701" w:rsidRPr="000D79B8" w:rsidRDefault="00477D65">
      <w:pPr>
        <w:widowControl w:val="0"/>
        <w:numPr>
          <w:ilvl w:val="1"/>
          <w:numId w:val="34"/>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lastRenderedPageBreak/>
        <w:t xml:space="preserve">Possuir ajuste automático para variações de tensão de 100 a 240 </w:t>
      </w:r>
      <w:proofErr w:type="spellStart"/>
      <w:r w:rsidRPr="000D79B8">
        <w:rPr>
          <w:rFonts w:ascii="Times New Roman" w:eastAsia="Arial" w:hAnsi="Times New Roman" w:cs="Times New Roman"/>
          <w:color w:val="000000"/>
        </w:rPr>
        <w:t>Vac</w:t>
      </w:r>
      <w:proofErr w:type="spellEnd"/>
      <w:r w:rsidRPr="000D79B8">
        <w:rPr>
          <w:rFonts w:ascii="Times New Roman" w:eastAsia="Arial" w:hAnsi="Times New Roman" w:cs="Times New Roman"/>
          <w:color w:val="000000"/>
        </w:rPr>
        <w:t xml:space="preserve"> e 60 Hz, na linha de entrada, sem qualquer intervenção do operador e sem causar degradação no desempenho do detector;</w:t>
      </w:r>
    </w:p>
    <w:p w14:paraId="2D1FA90E" w14:textId="77777777" w:rsidR="00D14701" w:rsidRPr="000D79B8" w:rsidRDefault="00477D65">
      <w:pPr>
        <w:widowControl w:val="0"/>
        <w:numPr>
          <w:ilvl w:val="1"/>
          <w:numId w:val="34"/>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cabo de alimentação que permita a instalação tanto na base de um de seus painéis laterais quanto em sua parte superior; </w:t>
      </w:r>
    </w:p>
    <w:p w14:paraId="32A54040" w14:textId="77777777" w:rsidR="00D14701" w:rsidRPr="000D79B8" w:rsidRDefault="00477D65">
      <w:pPr>
        <w:widowControl w:val="0"/>
        <w:numPr>
          <w:ilvl w:val="1"/>
          <w:numId w:val="34"/>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disjuntor para desligamento geral e fusível de proteção. </w:t>
      </w:r>
    </w:p>
    <w:p w14:paraId="089E99A4" w14:textId="77777777" w:rsidR="00D14701" w:rsidRPr="000D79B8" w:rsidRDefault="00477D65">
      <w:pPr>
        <w:widowControl w:val="0"/>
        <w:numPr>
          <w:ilvl w:val="1"/>
          <w:numId w:val="34"/>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proteção contra surtos de tensão na linha de alimentação afim de garantir proteção dos circuitos eletrônicos da solução; </w:t>
      </w:r>
    </w:p>
    <w:p w14:paraId="4778D982" w14:textId="77777777" w:rsidR="00D14701" w:rsidRPr="000D79B8" w:rsidRDefault="00D14701">
      <w:pPr>
        <w:contextualSpacing/>
        <w:jc w:val="both"/>
        <w:rPr>
          <w:rFonts w:ascii="Times New Roman" w:eastAsia="Arial" w:hAnsi="Times New Roman" w:cs="Times New Roman"/>
        </w:rPr>
      </w:pPr>
    </w:p>
    <w:p w14:paraId="023D1B29" w14:textId="77777777" w:rsidR="00D14701" w:rsidRPr="000D79B8" w:rsidRDefault="00477D65">
      <w:pPr>
        <w:contextualSpacing/>
        <w:jc w:val="both"/>
        <w:rPr>
          <w:rFonts w:ascii="Times New Roman" w:eastAsia="Arial" w:hAnsi="Times New Roman" w:cs="Times New Roman"/>
        </w:rPr>
      </w:pPr>
      <w:r w:rsidRPr="000D79B8">
        <w:rPr>
          <w:rFonts w:ascii="Times New Roman" w:eastAsia="Arial" w:hAnsi="Times New Roman" w:cs="Times New Roman"/>
          <w:b/>
          <w:lang w:eastAsia="ar-SA"/>
        </w:rPr>
        <w:t xml:space="preserve">CARACTERÍSTICAS ELETRÔNICAS: </w:t>
      </w:r>
    </w:p>
    <w:p w14:paraId="7D479994" w14:textId="77777777" w:rsidR="00D14701" w:rsidRPr="000D79B8" w:rsidRDefault="00D14701">
      <w:pPr>
        <w:contextualSpacing/>
        <w:jc w:val="both"/>
        <w:rPr>
          <w:rFonts w:ascii="Times New Roman" w:eastAsia="Arial" w:hAnsi="Times New Roman" w:cs="Times New Roman"/>
        </w:rPr>
      </w:pPr>
    </w:p>
    <w:p w14:paraId="3EDBD0FB"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unidade eletrônica do equipamento compacta e de fácil remoção, situada no interior do pórtico, junto às conexões elétricas e acondicionadas no interior de um compartimento fechado com chave. </w:t>
      </w:r>
    </w:p>
    <w:p w14:paraId="11ED14AA"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sistema para programação local ou remota por meio de ligação a computadores portáteis e à rede TCP-IP, de maneira a permitir o controle e o monitoramento remoto e integração em rede.</w:t>
      </w:r>
    </w:p>
    <w:p w14:paraId="4F3E6B50"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Dispor de indicador de quantidade de massa metálica do objeto com, pelo menos, 6 (seis) níveis;</w:t>
      </w:r>
    </w:p>
    <w:p w14:paraId="28A7C6B0"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unidade de controle com LCD provido de caracteres alfanuméricos, para atender às necessidades de operação, manutenção e demais ajustes de programa; </w:t>
      </w:r>
    </w:p>
    <w:p w14:paraId="477E139F"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todas as suas funções de ajuste e funcionamento controladas por microprocessadores;</w:t>
      </w:r>
    </w:p>
    <w:p w14:paraId="4AC391C1"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um sistema de </w:t>
      </w:r>
      <w:proofErr w:type="spellStart"/>
      <w:r w:rsidRPr="000D79B8">
        <w:rPr>
          <w:rFonts w:ascii="Times New Roman" w:eastAsia="Arial" w:hAnsi="Times New Roman" w:cs="Times New Roman"/>
          <w:color w:val="000000"/>
        </w:rPr>
        <w:t>autodiagnose</w:t>
      </w:r>
      <w:proofErr w:type="spellEnd"/>
      <w:r w:rsidRPr="000D79B8">
        <w:rPr>
          <w:rFonts w:ascii="Times New Roman" w:eastAsia="Arial" w:hAnsi="Times New Roman" w:cs="Times New Roman"/>
          <w:color w:val="000000"/>
        </w:rPr>
        <w:t xml:space="preserve"> para monitorar continuamente a sua operação de forma que, ocorrendo defeito ou falha, seja identificada a possível causa por meio de código específico no painel de alarme; </w:t>
      </w:r>
    </w:p>
    <w:p w14:paraId="4BBB6E88"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Quando configurado na sensibilidade desejada, independentemente do nível, caso sofra interferência proveniente de uma fonte externa (cadeiras de rodas, carrinhos de limpeza e de abastecimentos de concessionários) transitando na proximidade do pórtico, que dispare seu alarme, não deverá alterar o ajuste atual ou necessitar de recalibração; </w:t>
      </w:r>
    </w:p>
    <w:p w14:paraId="708C33F1"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sensores instalados em ambos os painéis (lados direto e esquerdo), que permitam a contagem de fluxo bidirecional conjugado com o acionamento do alarme;</w:t>
      </w:r>
    </w:p>
    <w:p w14:paraId="4DB18AE7"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Dispor de LCD (Display de Cristal Líquido) vertical de zonas de detecção ou coluna de "leds", disposto em ambas às colunas, para indicar o local do (s) objeto (s) metálico (s) detectado (s), conduzido (s) através do portal, iluminando simultaneamente as zonas que detectaram esses objetos. </w:t>
      </w:r>
    </w:p>
    <w:p w14:paraId="2F2A9E8E" w14:textId="77777777" w:rsidR="00D14701" w:rsidRPr="000D79B8" w:rsidRDefault="00D14701">
      <w:pPr>
        <w:contextualSpacing/>
        <w:jc w:val="both"/>
        <w:rPr>
          <w:rFonts w:ascii="Times New Roman" w:eastAsia="Arial" w:hAnsi="Times New Roman" w:cs="Times New Roman"/>
        </w:rPr>
      </w:pPr>
    </w:p>
    <w:p w14:paraId="111170E0" w14:textId="77777777" w:rsidR="00D14701" w:rsidRPr="000D79B8" w:rsidRDefault="00477D65">
      <w:pPr>
        <w:contextualSpacing/>
        <w:jc w:val="both"/>
        <w:rPr>
          <w:rFonts w:ascii="Times New Roman" w:eastAsia="Arial" w:hAnsi="Times New Roman" w:cs="Times New Roman"/>
        </w:rPr>
      </w:pPr>
      <w:r w:rsidRPr="000D79B8">
        <w:rPr>
          <w:rFonts w:ascii="Times New Roman" w:eastAsia="Arial" w:hAnsi="Times New Roman" w:cs="Times New Roman"/>
          <w:b/>
          <w:lang w:eastAsia="ar-SA"/>
        </w:rPr>
        <w:lastRenderedPageBreak/>
        <w:t xml:space="preserve">CARACTERÍSTICAS DE DETECÇÃO: </w:t>
      </w:r>
    </w:p>
    <w:p w14:paraId="6523F932" w14:textId="77777777" w:rsidR="00D14701" w:rsidRPr="000D79B8" w:rsidRDefault="00D14701">
      <w:pPr>
        <w:contextualSpacing/>
        <w:jc w:val="both"/>
        <w:rPr>
          <w:rFonts w:ascii="Times New Roman" w:eastAsia="Arial" w:hAnsi="Times New Roman" w:cs="Times New Roman"/>
        </w:rPr>
      </w:pPr>
    </w:p>
    <w:p w14:paraId="301BD95E"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tecnologia de </w:t>
      </w:r>
      <w:proofErr w:type="spellStart"/>
      <w:r w:rsidRPr="000D79B8">
        <w:rPr>
          <w:rFonts w:ascii="Times New Roman" w:eastAsia="Arial" w:hAnsi="Times New Roman" w:cs="Times New Roman"/>
          <w:color w:val="000000"/>
        </w:rPr>
        <w:t>multizonas</w:t>
      </w:r>
      <w:proofErr w:type="spellEnd"/>
      <w:r w:rsidRPr="000D79B8">
        <w:rPr>
          <w:rFonts w:ascii="Times New Roman" w:eastAsia="Arial" w:hAnsi="Times New Roman" w:cs="Times New Roman"/>
          <w:color w:val="000000"/>
        </w:rPr>
        <w:t xml:space="preserve"> detectores, constituídas por, no mínimo, 20 (vinte) zonas de detecção independentes, de modo a assegurar que os objetos sejam detectados separadamente pelas respectivas zonas permitindo processo de inspeção mais ágil e eficiente em função de maior facilidade na identificação da localização do (s) metal (</w:t>
      </w:r>
      <w:proofErr w:type="spellStart"/>
      <w:r w:rsidRPr="000D79B8">
        <w:rPr>
          <w:rFonts w:ascii="Times New Roman" w:eastAsia="Arial" w:hAnsi="Times New Roman" w:cs="Times New Roman"/>
          <w:color w:val="000000"/>
        </w:rPr>
        <w:t>is</w:t>
      </w:r>
      <w:proofErr w:type="spellEnd"/>
      <w:r w:rsidRPr="000D79B8">
        <w:rPr>
          <w:rFonts w:ascii="Times New Roman" w:eastAsia="Arial" w:hAnsi="Times New Roman" w:cs="Times New Roman"/>
          <w:color w:val="000000"/>
        </w:rPr>
        <w:t xml:space="preserve">) junto ao inspecionado. A quantidade de zonas de detecção mínimas exigida é diretamente proporcional a velocidade de inspeção e mínima para dar vazão a quantidade de inspecionados deste contratante; </w:t>
      </w:r>
    </w:p>
    <w:p w14:paraId="376EBBB2"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ajuste de sensibilidade em 200 níveis diferentes para cada programa, permitindo configuração de cada zona de acordo com o potencial risco associado a mesma e evitando falsos alarmes; </w:t>
      </w:r>
    </w:p>
    <w:p w14:paraId="2E237F9F"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 Possuir capacidade de detecção consistente e uniforme em toda a área interna (vão livre) do pórtico, proporcionando a cobertura completa de inspeção do extremo superior ao extremo inferior da pessoa inspecionada e ser independente da posição ou orientação do objeto transitando por ele;  </w:t>
      </w:r>
    </w:p>
    <w:p w14:paraId="22E3B614"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20 (vinte) programas de detecção, pré-selecionadas, para diferentes tipos e tamanhos de objetos metálicos em função da aplicação, permitindo configurações distintas para diferentes necessidades dos locais de instalação</w:t>
      </w:r>
    </w:p>
    <w:p w14:paraId="14CCE367"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proteção contra alarme falso, sendo que, quando configurado no nível de sensibilidade desejado, o pórtico não pode gerar alarme falso por interferência de corpo humano (condutividade elétrica) ou quando a pessoa totalmente livre de objetos metálicos transpasse o mesmo; </w:t>
      </w:r>
    </w:p>
    <w:p w14:paraId="133C9A7F"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capacidade de detecção de alta sensibilidade de objetos metálicos ferrosos e não ferrosos de dimensões e massas conforme estabelecido nas normas para a Aviação Civil;</w:t>
      </w:r>
    </w:p>
    <w:p w14:paraId="16FFB6D5"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estabilidade da capacidade de detecção, ou seja, esta não deve mudar com o tempo e, tampouco, necessitar de recalibração do equipamento; </w:t>
      </w:r>
    </w:p>
    <w:p w14:paraId="6B15C1CC"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capacidade de detecção de objeto a uma velocidade variando de 0,1 a 8,0 m/s em todos os sentidos.</w:t>
      </w:r>
    </w:p>
    <w:p w14:paraId="3CB8A6B2" w14:textId="77777777" w:rsidR="00D14701" w:rsidRPr="000D79B8" w:rsidRDefault="00477D65">
      <w:pPr>
        <w:widowControl w:val="0"/>
        <w:numPr>
          <w:ilvl w:val="1"/>
          <w:numId w:val="35"/>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capacidade de detecção de alta sensibilidade de objetos metálicos ferrosos e não ferrosos de dimensões e massas, conforme estabelecido nas normas e NILECJ-STD-0601.00 níveis 1 até 5 e NIJ-STD-0601.02 nível 1.</w:t>
      </w:r>
    </w:p>
    <w:p w14:paraId="12DFD09C" w14:textId="77777777" w:rsidR="00D14701" w:rsidRPr="000D79B8" w:rsidRDefault="00477D65">
      <w:pPr>
        <w:spacing w:line="360" w:lineRule="auto"/>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 </w:t>
      </w:r>
    </w:p>
    <w:p w14:paraId="2F52B143" w14:textId="77777777" w:rsidR="00D14701" w:rsidRPr="000D79B8" w:rsidRDefault="00477D65">
      <w:pPr>
        <w:spacing w:line="360" w:lineRule="auto"/>
        <w:jc w:val="both"/>
        <w:rPr>
          <w:rFonts w:ascii="Times New Roman" w:eastAsia="Arial" w:hAnsi="Times New Roman" w:cs="Times New Roman"/>
          <w:color w:val="000000"/>
        </w:rPr>
      </w:pPr>
      <w:r w:rsidRPr="000D79B8">
        <w:rPr>
          <w:rFonts w:ascii="Times New Roman" w:eastAsia="Arial" w:hAnsi="Times New Roman" w:cs="Times New Roman"/>
          <w:b/>
          <w:color w:val="000000"/>
        </w:rPr>
        <w:t xml:space="preserve">CONDIÇÕES DE OPERAÇÕES: </w:t>
      </w:r>
    </w:p>
    <w:p w14:paraId="126720D9" w14:textId="77777777" w:rsidR="00D14701" w:rsidRPr="000D79B8" w:rsidRDefault="00477D65">
      <w:pPr>
        <w:widowControl w:val="0"/>
        <w:numPr>
          <w:ilvl w:val="2"/>
          <w:numId w:val="36"/>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Operar com variações de temperatura ambiente entre –10º e +60º C e umidade relativa entre 0 e 95% </w:t>
      </w:r>
      <w:r w:rsidRPr="000D79B8">
        <w:rPr>
          <w:rFonts w:ascii="Times New Roman" w:eastAsia="Arial" w:hAnsi="Times New Roman" w:cs="Times New Roman"/>
          <w:color w:val="000000"/>
        </w:rPr>
        <w:lastRenderedPageBreak/>
        <w:t xml:space="preserve">não condensada; </w:t>
      </w:r>
    </w:p>
    <w:p w14:paraId="1963DF94" w14:textId="77777777" w:rsidR="00D14701" w:rsidRPr="000D79B8" w:rsidRDefault="00477D65">
      <w:pPr>
        <w:widowControl w:val="0"/>
        <w:numPr>
          <w:ilvl w:val="2"/>
          <w:numId w:val="36"/>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condições de inspecionar 30 pessoas por minuto; </w:t>
      </w:r>
    </w:p>
    <w:p w14:paraId="2784F3D4" w14:textId="77777777" w:rsidR="00D14701" w:rsidRPr="000D79B8" w:rsidRDefault="00477D65">
      <w:pPr>
        <w:widowControl w:val="0"/>
        <w:numPr>
          <w:ilvl w:val="2"/>
          <w:numId w:val="36"/>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Deverá ser capaz de integrar com o scanner de volumes ofertado neste lote a fim de permitir que as zonas de detecção e seus respectivos alarmes possam ser visualizados na mesma tela onde serão visualizadas as imagens provenientes da inspeção dos volumes de forma simultânea.</w:t>
      </w:r>
    </w:p>
    <w:p w14:paraId="328AD54C" w14:textId="77777777" w:rsidR="00D14701" w:rsidRPr="000D79B8" w:rsidRDefault="00477D65">
      <w:pPr>
        <w:widowControl w:val="0"/>
        <w:numPr>
          <w:ilvl w:val="2"/>
          <w:numId w:val="36"/>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themeColor="text1"/>
        </w:rPr>
        <w:t xml:space="preserve">Não oferecer risco aos seres humanos e sistemas de apoio vital (portadores de marca-passo, implante coclear, etc.). Para atender a estas exigências, a LICITANTE deverá apresentar documento do fabricante atestando a conformidade do equipamento; </w:t>
      </w:r>
    </w:p>
    <w:p w14:paraId="132590D1" w14:textId="77777777" w:rsidR="00D14701" w:rsidRPr="000D79B8" w:rsidRDefault="00477D65">
      <w:pPr>
        <w:widowControl w:val="0"/>
        <w:numPr>
          <w:ilvl w:val="2"/>
          <w:numId w:val="36"/>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contador para os seguintes registros de tráfego e alarmes: </w:t>
      </w:r>
    </w:p>
    <w:p w14:paraId="23314AFD" w14:textId="77777777" w:rsidR="00D14701" w:rsidRPr="000D79B8" w:rsidRDefault="00477D65">
      <w:pPr>
        <w:spacing w:line="360" w:lineRule="auto"/>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 Contagem crescente de pessoas que passam em ambos os sentidos; </w:t>
      </w:r>
    </w:p>
    <w:p w14:paraId="35169411" w14:textId="77777777" w:rsidR="00D14701" w:rsidRPr="000D79B8" w:rsidRDefault="00477D65">
      <w:pPr>
        <w:spacing w:line="360" w:lineRule="auto"/>
        <w:ind w:firstLine="144"/>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 Contagem crescente em um sentido e nula no sentido oposto; </w:t>
      </w:r>
    </w:p>
    <w:p w14:paraId="3E3B26F1" w14:textId="77777777" w:rsidR="00D14701" w:rsidRPr="000D79B8" w:rsidRDefault="00477D65">
      <w:pPr>
        <w:spacing w:line="360" w:lineRule="auto"/>
        <w:ind w:firstLine="144"/>
        <w:jc w:val="both"/>
        <w:rPr>
          <w:rFonts w:ascii="Times New Roman" w:eastAsia="Arial" w:hAnsi="Times New Roman" w:cs="Times New Roman"/>
          <w:color w:val="000000"/>
        </w:rPr>
      </w:pPr>
      <w:r w:rsidRPr="000D79B8">
        <w:rPr>
          <w:rFonts w:ascii="Times New Roman" w:eastAsia="Arial" w:hAnsi="Times New Roman" w:cs="Times New Roman"/>
          <w:color w:val="000000"/>
        </w:rPr>
        <w:t>- Contagem do número ou percentual de alarmes;</w:t>
      </w:r>
    </w:p>
    <w:p w14:paraId="7E51D26D" w14:textId="77777777" w:rsidR="00D14701" w:rsidRPr="000D79B8" w:rsidRDefault="00477D65">
      <w:pPr>
        <w:widowControl w:val="0"/>
        <w:numPr>
          <w:ilvl w:val="2"/>
          <w:numId w:val="36"/>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função de "reset" rápido para acionamento na condição de alarme, com tempo máximo de 2,0 segundos; </w:t>
      </w:r>
    </w:p>
    <w:p w14:paraId="24028880" w14:textId="77777777" w:rsidR="00D14701" w:rsidRPr="000D79B8" w:rsidRDefault="00D14701">
      <w:pPr>
        <w:jc w:val="both"/>
        <w:rPr>
          <w:rFonts w:ascii="Times New Roman" w:eastAsia="Arial" w:hAnsi="Times New Roman" w:cs="Times New Roman"/>
        </w:rPr>
      </w:pPr>
    </w:p>
    <w:p w14:paraId="103B555E" w14:textId="77777777" w:rsidR="00D14701" w:rsidRPr="000D79B8" w:rsidRDefault="00477D65">
      <w:pPr>
        <w:jc w:val="both"/>
        <w:rPr>
          <w:rFonts w:ascii="Times New Roman" w:eastAsia="Arial" w:hAnsi="Times New Roman" w:cs="Times New Roman"/>
        </w:rPr>
      </w:pPr>
      <w:r w:rsidRPr="000D79B8">
        <w:rPr>
          <w:rFonts w:ascii="Times New Roman" w:eastAsia="Arial" w:hAnsi="Times New Roman" w:cs="Times New Roman"/>
          <w:b/>
          <w:lang w:eastAsia="ar-SA"/>
        </w:rPr>
        <w:t xml:space="preserve">INTERFERÊNCIA: </w:t>
      </w:r>
    </w:p>
    <w:p w14:paraId="4F46B9D6" w14:textId="77777777" w:rsidR="00D14701" w:rsidRPr="000D79B8" w:rsidRDefault="00D14701">
      <w:pPr>
        <w:jc w:val="both"/>
        <w:rPr>
          <w:rFonts w:ascii="Times New Roman" w:eastAsia="Arial" w:hAnsi="Times New Roman" w:cs="Times New Roman"/>
        </w:rPr>
      </w:pPr>
    </w:p>
    <w:p w14:paraId="6754138B"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Operar sem interferir em aparelhos ou equipamentos elétricos/eletrônicos, nem sofrer interferência de qualquer natureza de equipamentos ou estruturas metálicas situadas nas proximidades; </w:t>
      </w:r>
    </w:p>
    <w:p w14:paraId="1F7E9C4E"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Operar a uma distância de 30 (trinta) centímetros de um equipamento de Raios X sem apresentar mudanças na homogeneidade de detecção ou falsos alarmes causados por interferências eletromagnéticas; </w:t>
      </w:r>
    </w:p>
    <w:p w14:paraId="573F29E3"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Possuir proteção contra ruídos e interferências de origem eletromagnética (rádio VHF, UHF, telefone sem fio, telefone celular, etc.) principalmente de fontes externas de radiofrequência ou estrutura metálica do local de instalação, não devendo, portanto, disparar o alarme do pórtico. </w:t>
      </w:r>
    </w:p>
    <w:p w14:paraId="2D36C33B"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 xml:space="preserve">Alarmes: Possuir indicador sonoro, com alarme de alta intensidade com volume ajustável e tom programável; </w:t>
      </w:r>
    </w:p>
    <w:p w14:paraId="28EC7924"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color w:val="000000"/>
        </w:rPr>
        <w:t>Possuir alarme visual indicador de anormalidade na cor vermelha e indicador de "pronto para operar" na cor verde.</w:t>
      </w:r>
    </w:p>
    <w:p w14:paraId="12F0113A" w14:textId="77777777" w:rsidR="00D14701" w:rsidRPr="000D79B8" w:rsidRDefault="00D14701">
      <w:pPr>
        <w:pStyle w:val="PargrafodaLista"/>
        <w:widowControl w:val="0"/>
        <w:ind w:left="360"/>
        <w:jc w:val="both"/>
        <w:rPr>
          <w:rFonts w:ascii="Times New Roman" w:eastAsia="Arial" w:hAnsi="Times New Roman" w:cs="Times New Roman"/>
          <w:color w:val="000000"/>
        </w:rPr>
      </w:pPr>
    </w:p>
    <w:p w14:paraId="1ED1ABEC" w14:textId="77777777" w:rsidR="00D14701" w:rsidRPr="000D79B8" w:rsidRDefault="00477D65">
      <w:pPr>
        <w:pStyle w:val="PargrafodaLista"/>
        <w:widowControl w:val="0"/>
        <w:ind w:left="0"/>
        <w:jc w:val="both"/>
        <w:rPr>
          <w:rFonts w:ascii="Times New Roman" w:eastAsia="Arial" w:hAnsi="Times New Roman" w:cs="Times New Roman"/>
          <w:color w:val="000000"/>
        </w:rPr>
      </w:pPr>
      <w:r w:rsidRPr="000D79B8">
        <w:rPr>
          <w:rFonts w:ascii="Times New Roman" w:eastAsia="Arial" w:hAnsi="Times New Roman" w:cs="Times New Roman"/>
          <w:b/>
          <w:color w:val="000000"/>
          <w:u w:val="single"/>
        </w:rPr>
        <w:t>CARACTERÍSTICAS DO DETECTOR DE METAIS MANUAL:</w:t>
      </w:r>
    </w:p>
    <w:p w14:paraId="6CBD4C02"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 xml:space="preserve">Cada canal de inspeção deverá conter no mínimo um equipamento manual de vistoria de pessoas </w:t>
      </w:r>
      <w:r w:rsidRPr="000D79B8">
        <w:rPr>
          <w:rFonts w:ascii="Times New Roman" w:eastAsia="Arial" w:hAnsi="Times New Roman" w:cs="Times New Roman"/>
        </w:rPr>
        <w:lastRenderedPageBreak/>
        <w:t>através de detecção de metais com as seguintes características: </w:t>
      </w:r>
    </w:p>
    <w:p w14:paraId="3519C94F" w14:textId="77777777" w:rsidR="00D14701" w:rsidRPr="000D79B8" w:rsidRDefault="00D14701">
      <w:pPr>
        <w:widowControl w:val="0"/>
        <w:spacing w:line="360" w:lineRule="auto"/>
        <w:jc w:val="both"/>
        <w:rPr>
          <w:rFonts w:ascii="Times New Roman" w:eastAsia="Arial" w:hAnsi="Times New Roman" w:cs="Times New Roman"/>
          <w:color w:val="000000"/>
        </w:rPr>
      </w:pPr>
    </w:p>
    <w:p w14:paraId="394CBAC9" w14:textId="77777777" w:rsidR="00D14701" w:rsidRPr="000D79B8" w:rsidRDefault="00477D65">
      <w:pPr>
        <w:widowControl w:val="0"/>
        <w:spacing w:line="360" w:lineRule="auto"/>
        <w:jc w:val="both"/>
        <w:rPr>
          <w:rFonts w:ascii="Times New Roman" w:eastAsia="Arial" w:hAnsi="Times New Roman" w:cs="Times New Roman"/>
        </w:rPr>
      </w:pPr>
      <w:r w:rsidRPr="000D79B8">
        <w:rPr>
          <w:rFonts w:ascii="Times New Roman" w:eastAsia="Arial" w:hAnsi="Times New Roman" w:cs="Times New Roman"/>
          <w:b/>
          <w:bCs/>
        </w:rPr>
        <w:t>CARACTERÍSTICAS ESTRUTURAIS:  </w:t>
      </w:r>
    </w:p>
    <w:p w14:paraId="4FA677C0" w14:textId="77777777" w:rsidR="00D14701" w:rsidRPr="000D79B8" w:rsidRDefault="00D14701">
      <w:pPr>
        <w:widowControl w:val="0"/>
        <w:spacing w:line="360" w:lineRule="auto"/>
        <w:jc w:val="both"/>
        <w:rPr>
          <w:rFonts w:ascii="Times New Roman" w:eastAsia="Arial" w:hAnsi="Times New Roman" w:cs="Times New Roman"/>
          <w:color w:val="000000"/>
        </w:rPr>
      </w:pPr>
    </w:p>
    <w:p w14:paraId="404CEC92"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Construção em plástico preto (ABS) de alto impacto e leve (500g);  </w:t>
      </w:r>
    </w:p>
    <w:p w14:paraId="621C857D"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Circuito eletrônico microprocessado; </w:t>
      </w:r>
    </w:p>
    <w:p w14:paraId="7B39EE30"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Detecção de metais ferrosos e não ferrosos (metais magnéticos e não magnéticos);  </w:t>
      </w:r>
    </w:p>
    <w:p w14:paraId="7873A936"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Alarme sonoro e visual de detecção; </w:t>
      </w:r>
    </w:p>
    <w:p w14:paraId="082F6D8A"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Ajuste de sensibilidade em vários níveis; </w:t>
      </w:r>
    </w:p>
    <w:p w14:paraId="1E89F06C"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Receptor de alta sensibilidade; </w:t>
      </w:r>
    </w:p>
    <w:p w14:paraId="2CD915EF"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Aviso contínuo de detecção durante a proximidade do metal, o que proporciona uma maior precisão em revistas; </w:t>
      </w:r>
    </w:p>
    <w:p w14:paraId="1F2B3C3B"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Botão para seleção de sensibilidade; </w:t>
      </w:r>
    </w:p>
    <w:p w14:paraId="58B26512"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Sistema de alerta por vibração; </w:t>
      </w:r>
    </w:p>
    <w:p w14:paraId="4EDC41E0" w14:textId="588E26A9"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LED indicador de ligado</w:t>
      </w:r>
      <w:r w:rsidR="005019D9" w:rsidRPr="000D79B8">
        <w:rPr>
          <w:rFonts w:ascii="Times New Roman" w:eastAsia="Arial" w:hAnsi="Times New Roman" w:cs="Times New Roman"/>
        </w:rPr>
        <w:t>;</w:t>
      </w:r>
      <w:r w:rsidRPr="000D79B8">
        <w:rPr>
          <w:rFonts w:ascii="Times New Roman" w:eastAsia="Arial" w:hAnsi="Times New Roman" w:cs="Times New Roman"/>
        </w:rPr>
        <w:t> </w:t>
      </w:r>
    </w:p>
    <w:p w14:paraId="72D7FC26"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Indicação luminosa de status da bateria (carregada/descarregada); </w:t>
      </w:r>
    </w:p>
    <w:p w14:paraId="62F12C79"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Alimentação por bateria alcalina ou recarregável de 9V; </w:t>
      </w:r>
    </w:p>
    <w:p w14:paraId="594402BC"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Compartimento de acesso rápido a bateria; </w:t>
      </w:r>
    </w:p>
    <w:p w14:paraId="2129CBE7"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Possui entrada para carregador de bateria; </w:t>
      </w:r>
    </w:p>
    <w:p w14:paraId="5B801C15"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Possui autonomia da bateria superior a 60 (sessenta) horas; </w:t>
      </w:r>
    </w:p>
    <w:p w14:paraId="5CC23030"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Não oferecer risco para os portadores de marca-passo e também a mulheres grávidas; </w:t>
      </w:r>
    </w:p>
    <w:p w14:paraId="20BF841F"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Possui Manual em Português contemplando, também, instruções de carregamento de bateria. </w:t>
      </w:r>
    </w:p>
    <w:p w14:paraId="6E3C5534"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Possui Botão de pressão momentâneo para auxiliar a eliminar temporariamente detecção de metais nas proximidades ambiente tais como vergalhões, paredes de metal. </w:t>
      </w:r>
    </w:p>
    <w:p w14:paraId="1B9D91B9" w14:textId="77777777" w:rsidR="00D14701" w:rsidRPr="000D79B8" w:rsidRDefault="00477D65">
      <w:pPr>
        <w:widowControl w:val="0"/>
        <w:numPr>
          <w:ilvl w:val="2"/>
          <w:numId w:val="37"/>
        </w:numPr>
        <w:spacing w:line="360" w:lineRule="auto"/>
        <w:ind w:left="0"/>
        <w:jc w:val="both"/>
        <w:rPr>
          <w:rFonts w:ascii="Times New Roman" w:eastAsia="Arial" w:hAnsi="Times New Roman" w:cs="Times New Roman"/>
          <w:color w:val="000000"/>
        </w:rPr>
      </w:pPr>
      <w:r w:rsidRPr="000D79B8">
        <w:rPr>
          <w:rFonts w:ascii="Times New Roman" w:eastAsia="Arial" w:hAnsi="Times New Roman" w:cs="Times New Roman"/>
        </w:rPr>
        <w:t xml:space="preserve">Possui cabo de borracha a prova de </w:t>
      </w:r>
      <w:proofErr w:type="spellStart"/>
      <w:r w:rsidRPr="000D79B8">
        <w:rPr>
          <w:rFonts w:ascii="Times New Roman" w:eastAsia="Arial" w:hAnsi="Times New Roman" w:cs="Times New Roman"/>
        </w:rPr>
        <w:t>interperes</w:t>
      </w:r>
      <w:proofErr w:type="spellEnd"/>
      <w:r w:rsidRPr="000D79B8">
        <w:rPr>
          <w:rFonts w:ascii="Times New Roman" w:eastAsia="Arial" w:hAnsi="Times New Roman" w:cs="Times New Roman"/>
        </w:rPr>
        <w:t>; </w:t>
      </w:r>
    </w:p>
    <w:p w14:paraId="06EC13FE" w14:textId="77777777" w:rsidR="00D14701" w:rsidRPr="000D79B8" w:rsidRDefault="00477D65">
      <w:pPr>
        <w:pStyle w:val="Nivel2"/>
        <w:numPr>
          <w:ilvl w:val="0"/>
          <w:numId w:val="0"/>
        </w:numPr>
        <w:ind w:left="360"/>
        <w:rPr>
          <w:rFonts w:ascii="Times New Roman" w:hAnsi="Times New Roman" w:cs="Times New Roman"/>
          <w:sz w:val="24"/>
          <w:szCs w:val="24"/>
        </w:rPr>
      </w:pPr>
      <w:r w:rsidRPr="000D79B8">
        <w:rPr>
          <w:rFonts w:ascii="Times New Roman" w:hAnsi="Times New Roman" w:cs="Times New Roman"/>
          <w:sz w:val="24"/>
          <w:szCs w:val="24"/>
        </w:rPr>
        <w:t>O Detector de metal manual deverá vir acompanhado de 01 Carregador bivolt externo para bateria de 9V e 01 Coldre por equipamento. </w:t>
      </w:r>
    </w:p>
    <w:p w14:paraId="29C7AA14" w14:textId="77777777" w:rsidR="00D14701" w:rsidRPr="000D79B8" w:rsidRDefault="00D14701">
      <w:pPr>
        <w:pStyle w:val="Nivel2"/>
        <w:numPr>
          <w:ilvl w:val="0"/>
          <w:numId w:val="0"/>
        </w:numPr>
        <w:ind w:left="360"/>
        <w:rPr>
          <w:rFonts w:ascii="Times New Roman" w:hAnsi="Times New Roman" w:cs="Times New Roman"/>
          <w:sz w:val="24"/>
          <w:szCs w:val="24"/>
        </w:rPr>
      </w:pPr>
    </w:p>
    <w:p w14:paraId="6BD47A95" w14:textId="77777777" w:rsidR="00D14701" w:rsidRPr="000D79B8" w:rsidRDefault="00477D65">
      <w:pPr>
        <w:pStyle w:val="Breno1"/>
        <w:numPr>
          <w:ilvl w:val="0"/>
          <w:numId w:val="0"/>
        </w:numPr>
        <w:spacing w:before="0" w:line="276" w:lineRule="auto"/>
        <w:jc w:val="both"/>
        <w:rPr>
          <w:rFonts w:ascii="Times New Roman" w:eastAsia="Arial" w:hAnsi="Times New Roman"/>
          <w:iCs w:val="0"/>
          <w:sz w:val="24"/>
        </w:rPr>
      </w:pPr>
      <w:r w:rsidRPr="000D79B8">
        <w:rPr>
          <w:rFonts w:ascii="Times New Roman" w:eastAsia="Arial" w:hAnsi="Times New Roman"/>
          <w:iCs w:val="0"/>
          <w:sz w:val="24"/>
        </w:rPr>
        <w:t>DOCUMENTAÇÃO TÉCNICA</w:t>
      </w:r>
    </w:p>
    <w:p w14:paraId="516FA49B" w14:textId="77777777" w:rsidR="00D14701" w:rsidRPr="000D79B8" w:rsidRDefault="00D14701">
      <w:pPr>
        <w:pStyle w:val="Breno31"/>
        <w:numPr>
          <w:ilvl w:val="0"/>
          <w:numId w:val="0"/>
        </w:numPr>
        <w:spacing w:line="276" w:lineRule="auto"/>
        <w:rPr>
          <w:rFonts w:ascii="Times New Roman" w:eastAsia="Arial" w:hAnsi="Times New Roman"/>
          <w:iCs w:val="0"/>
          <w:sz w:val="24"/>
          <w:szCs w:val="24"/>
        </w:rPr>
      </w:pPr>
    </w:p>
    <w:p w14:paraId="430ABF86" w14:textId="77777777" w:rsidR="00D14701" w:rsidRPr="000D79B8" w:rsidRDefault="00477D65">
      <w:pPr>
        <w:spacing w:line="276" w:lineRule="auto"/>
        <w:ind w:firstLine="567"/>
        <w:jc w:val="both"/>
        <w:rPr>
          <w:rFonts w:ascii="Times New Roman" w:eastAsia="Arial" w:hAnsi="Times New Roman" w:cs="Times New Roman"/>
        </w:rPr>
      </w:pPr>
      <w:r w:rsidRPr="000D79B8">
        <w:rPr>
          <w:rFonts w:ascii="Times New Roman" w:eastAsia="Arial" w:hAnsi="Times New Roman" w:cs="Times New Roman"/>
        </w:rPr>
        <w:lastRenderedPageBreak/>
        <w:t xml:space="preserve">O equipamento deverá ser acompanhado da documentação técnica abaixo citada (em meio digital e impresso) fornecida pelo fabricante, em português brasileiro. Caso seja necessária a tradução, a documentação em língua original deverá acompanhar o material traduzido. </w:t>
      </w:r>
    </w:p>
    <w:p w14:paraId="0E626321" w14:textId="77777777" w:rsidR="00D14701" w:rsidRPr="000D79B8" w:rsidRDefault="00D14701">
      <w:pPr>
        <w:spacing w:line="276" w:lineRule="auto"/>
        <w:jc w:val="both"/>
        <w:rPr>
          <w:rFonts w:ascii="Times New Roman" w:eastAsia="Arial" w:hAnsi="Times New Roman" w:cs="Times New Roman"/>
        </w:rPr>
      </w:pPr>
    </w:p>
    <w:p w14:paraId="6F81AE98" w14:textId="77777777" w:rsidR="00D14701" w:rsidRPr="000D79B8" w:rsidRDefault="00477D65">
      <w:pPr>
        <w:pStyle w:val="PargrafodaLista"/>
        <w:numPr>
          <w:ilvl w:val="0"/>
          <w:numId w:val="39"/>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Deverá apresentar documento comprobatório Autorização de Operação na área de Manutenção de equipamentos de raios-x, emitida pela Comissão Nacional de Energia Nuclear – CNEN; </w:t>
      </w:r>
    </w:p>
    <w:p w14:paraId="5D13F39B" w14:textId="77777777" w:rsidR="00D14701" w:rsidRPr="000D79B8" w:rsidRDefault="00477D65">
      <w:pPr>
        <w:pStyle w:val="PargrafodaLista"/>
        <w:numPr>
          <w:ilvl w:val="0"/>
          <w:numId w:val="39"/>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Declaração da licitante de que os equipamentos a serem fornecidos estão de acordo com todas as normas brasileiras que regulamentam a modalidade tecnológica, nas quais os mesmos estão vinculados e que a empresa possui condições técnicas compreendendo corpo técnico, ferramental e peças de reposição, suficientes para executar os serviços de instalação, treinamento e assistência técnica, para equipamentos de inspeção de raios-x. </w:t>
      </w:r>
    </w:p>
    <w:p w14:paraId="61755AD9" w14:textId="77777777" w:rsidR="00D14701" w:rsidRPr="000D79B8" w:rsidRDefault="00477D65">
      <w:pPr>
        <w:pStyle w:val="PargrafodaLista"/>
        <w:numPr>
          <w:ilvl w:val="0"/>
          <w:numId w:val="39"/>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Declaração do fabricante de raios-x comprovando as integrações mencionadas neste termo de referência com portal detector de metais específico;</w:t>
      </w:r>
    </w:p>
    <w:p w14:paraId="6E2B12FE" w14:textId="77777777" w:rsidR="00D14701" w:rsidRPr="000D79B8" w:rsidRDefault="00477D65">
      <w:pPr>
        <w:pStyle w:val="PargrafodaLista"/>
        <w:numPr>
          <w:ilvl w:val="0"/>
          <w:numId w:val="39"/>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 xml:space="preserve">Comprovação de aptidão da proponente, mediante apresentação de no mínimo 1 (um) atestado (s) fornecido (s) por pessoas jurídicas de direito público ou privado, de desempenho de atividades pertinentes e compatíveis com o objeto da presente licitação, que atestem fornecimento, instalação e assistência técnica para canal de inspeção composto de equipamentos </w:t>
      </w:r>
      <w:r w:rsidRPr="000D79B8">
        <w:rPr>
          <w:rFonts w:ascii="Times New Roman" w:eastAsia="Arial" w:hAnsi="Times New Roman" w:cs="Times New Roman"/>
          <w:bCs/>
        </w:rPr>
        <w:t>de vistoria</w:t>
      </w:r>
      <w:r w:rsidRPr="000D79B8">
        <w:rPr>
          <w:rFonts w:ascii="Times New Roman" w:eastAsia="Arial" w:hAnsi="Times New Roman" w:cs="Times New Roman"/>
        </w:rPr>
        <w:t xml:space="preserve"> </w:t>
      </w:r>
      <w:r w:rsidRPr="000D79B8">
        <w:rPr>
          <w:rFonts w:ascii="Times New Roman" w:eastAsia="Arial" w:hAnsi="Times New Roman" w:cs="Times New Roman"/>
          <w:bCs/>
        </w:rPr>
        <w:t>d</w:t>
      </w:r>
      <w:r w:rsidRPr="000D79B8">
        <w:rPr>
          <w:rFonts w:ascii="Times New Roman" w:eastAsia="Arial" w:hAnsi="Times New Roman" w:cs="Times New Roman"/>
        </w:rPr>
        <w:t xml:space="preserve">e volumes e </w:t>
      </w:r>
      <w:r w:rsidRPr="000D79B8">
        <w:rPr>
          <w:rFonts w:ascii="Times New Roman" w:eastAsia="Arial" w:hAnsi="Times New Roman" w:cs="Times New Roman"/>
          <w:bCs/>
        </w:rPr>
        <w:t>pessoas</w:t>
      </w:r>
      <w:r w:rsidRPr="000D79B8">
        <w:rPr>
          <w:rFonts w:ascii="Times New Roman" w:eastAsia="Arial" w:hAnsi="Times New Roman" w:cs="Times New Roman"/>
        </w:rPr>
        <w:t>.</w:t>
      </w:r>
    </w:p>
    <w:p w14:paraId="05848427" w14:textId="77777777" w:rsidR="00D14701" w:rsidRPr="000D79B8" w:rsidRDefault="00D14701">
      <w:pPr>
        <w:pStyle w:val="PargrafodaLista"/>
        <w:spacing w:line="276" w:lineRule="auto"/>
        <w:ind w:left="0"/>
        <w:jc w:val="both"/>
        <w:rPr>
          <w:rFonts w:ascii="Times New Roman" w:eastAsia="Arial" w:hAnsi="Times New Roman" w:cs="Times New Roman"/>
        </w:rPr>
      </w:pPr>
    </w:p>
    <w:p w14:paraId="47CE729B" w14:textId="77777777" w:rsidR="00D14701" w:rsidRPr="000D79B8" w:rsidRDefault="00477D65">
      <w:pPr>
        <w:pStyle w:val="Breno1"/>
        <w:numPr>
          <w:ilvl w:val="0"/>
          <w:numId w:val="0"/>
        </w:numPr>
        <w:spacing w:before="0" w:line="276" w:lineRule="auto"/>
        <w:jc w:val="both"/>
        <w:rPr>
          <w:rFonts w:ascii="Times New Roman" w:eastAsia="Arial" w:hAnsi="Times New Roman"/>
          <w:b w:val="0"/>
          <w:iCs w:val="0"/>
          <w:sz w:val="24"/>
        </w:rPr>
      </w:pPr>
      <w:r w:rsidRPr="000D79B8">
        <w:rPr>
          <w:rFonts w:ascii="Times New Roman" w:eastAsia="Arial" w:hAnsi="Times New Roman"/>
          <w:iCs w:val="0"/>
          <w:sz w:val="24"/>
        </w:rPr>
        <w:t>PROGRAMA DE INSTRUÇÃO PARA TREINAMENTOS</w:t>
      </w:r>
    </w:p>
    <w:p w14:paraId="560F851D" w14:textId="77777777" w:rsidR="00D14701" w:rsidRPr="000D79B8" w:rsidRDefault="00D14701">
      <w:pPr>
        <w:pStyle w:val="Breno1"/>
        <w:numPr>
          <w:ilvl w:val="0"/>
          <w:numId w:val="0"/>
        </w:numPr>
        <w:spacing w:before="0" w:line="276" w:lineRule="auto"/>
        <w:jc w:val="both"/>
        <w:rPr>
          <w:rFonts w:ascii="Times New Roman" w:eastAsia="Arial" w:hAnsi="Times New Roman"/>
          <w:b w:val="0"/>
          <w:iCs w:val="0"/>
          <w:sz w:val="24"/>
        </w:rPr>
      </w:pPr>
    </w:p>
    <w:p w14:paraId="2C729D73" w14:textId="77777777" w:rsidR="00D14701" w:rsidRPr="000D79B8" w:rsidRDefault="00477D65">
      <w:pPr>
        <w:pStyle w:val="PargrafodaLista"/>
        <w:numPr>
          <w:ilvl w:val="0"/>
          <w:numId w:val="39"/>
        </w:numPr>
        <w:spacing w:line="276" w:lineRule="auto"/>
        <w:ind w:left="0"/>
        <w:jc w:val="both"/>
        <w:rPr>
          <w:rFonts w:ascii="Times New Roman" w:eastAsia="Arial" w:hAnsi="Times New Roman" w:cs="Times New Roman"/>
        </w:rPr>
      </w:pPr>
      <w:r w:rsidRPr="000D79B8">
        <w:rPr>
          <w:rFonts w:ascii="Times New Roman" w:eastAsia="Arial" w:hAnsi="Times New Roman" w:cs="Times New Roman"/>
        </w:rPr>
        <w:t>A contratada deverá realizar Treinamento de Operação dos equipamentos ofertados de no mínimo 04 h (quatro horas), a serem realizados nas localidades contempladas para entrega indicadas pela CONTRATANTE</w:t>
      </w:r>
    </w:p>
    <w:p w14:paraId="440F1E8B" w14:textId="77777777" w:rsidR="00D14701" w:rsidRPr="000D79B8" w:rsidRDefault="00D14701">
      <w:pPr>
        <w:pStyle w:val="Nivel2"/>
        <w:numPr>
          <w:ilvl w:val="0"/>
          <w:numId w:val="0"/>
        </w:numPr>
        <w:ind w:left="360"/>
        <w:rPr>
          <w:rFonts w:ascii="Times New Roman" w:hAnsi="Times New Roman" w:cs="Times New Roman"/>
          <w:sz w:val="24"/>
          <w:szCs w:val="24"/>
        </w:rPr>
      </w:pPr>
    </w:p>
    <w:p w14:paraId="13138534" w14:textId="77777777" w:rsidR="00D14701" w:rsidRPr="000D79B8" w:rsidRDefault="00477D65">
      <w:pPr>
        <w:pStyle w:val="Nivel2"/>
        <w:rPr>
          <w:rFonts w:ascii="Times New Roman" w:hAnsi="Times New Roman" w:cs="Times New Roman"/>
          <w:sz w:val="24"/>
          <w:szCs w:val="24"/>
        </w:rPr>
      </w:pPr>
      <w:commentRangeStart w:id="1"/>
      <w:r w:rsidRPr="000D79B8">
        <w:rPr>
          <w:rFonts w:ascii="Times New Roman" w:hAnsi="Times New Roman" w:cs="Times New Roman"/>
          <w:sz w:val="24"/>
          <w:szCs w:val="24"/>
        </w:rPr>
        <w:t>Os bens objeto desta contratação são caracterizados como comuns, conforme justificativa constante do Estudo Técnico Preliminar.</w:t>
      </w:r>
      <w:commentRangeEnd w:id="1"/>
      <w:r w:rsidRPr="000D79B8">
        <w:rPr>
          <w:rFonts w:ascii="Times New Roman" w:hAnsi="Times New Roman" w:cs="Times New Roman"/>
          <w:sz w:val="24"/>
          <w:szCs w:val="24"/>
        </w:rPr>
        <w:commentReference w:id="1"/>
      </w:r>
    </w:p>
    <w:p w14:paraId="1B51F47C" w14:textId="77777777" w:rsidR="00D14701" w:rsidRPr="000D79B8" w:rsidRDefault="00477D65">
      <w:pPr>
        <w:pStyle w:val="Nivel2"/>
        <w:rPr>
          <w:rFonts w:ascii="Times New Roman" w:hAnsi="Times New Roman" w:cs="Times New Roman"/>
          <w:sz w:val="24"/>
          <w:szCs w:val="24"/>
        </w:rPr>
      </w:pPr>
      <w:commentRangeStart w:id="2"/>
      <w:r w:rsidRPr="000D79B8">
        <w:rPr>
          <w:rFonts w:ascii="Times New Roman" w:hAnsi="Times New Roman" w:cs="Times New Roman"/>
          <w:sz w:val="24"/>
          <w:szCs w:val="24"/>
        </w:rPr>
        <w:t>O objeto desta contratação não se enquadra como sendo de bem de luxo, conforme Decreto nº 10.818, de 27 de setembro de 2021.</w:t>
      </w:r>
      <w:commentRangeEnd w:id="2"/>
      <w:r w:rsidRPr="000D79B8">
        <w:rPr>
          <w:rFonts w:ascii="Times New Roman" w:hAnsi="Times New Roman" w:cs="Times New Roman"/>
          <w:sz w:val="24"/>
          <w:szCs w:val="24"/>
        </w:rPr>
        <w:commentReference w:id="2"/>
      </w:r>
    </w:p>
    <w:p w14:paraId="1ED7F23F" w14:textId="77777777" w:rsidR="00D14701" w:rsidRPr="000D79B8" w:rsidRDefault="00477D65">
      <w:pPr>
        <w:pStyle w:val="Nvel2-Red"/>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O prazo de vigência da contratação é de12 meses contados da homologação, na forma do artigo 105 da Lei n° 14.133, de 2021.</w:t>
      </w:r>
    </w:p>
    <w:p w14:paraId="3294475D" w14:textId="77777777" w:rsidR="00D14701" w:rsidRPr="000D79B8" w:rsidRDefault="00477D65">
      <w:pPr>
        <w:pStyle w:val="Nivel01"/>
        <w:rPr>
          <w:rFonts w:ascii="Times New Roman" w:hAnsi="Times New Roman" w:cs="Times New Roman"/>
          <w:sz w:val="24"/>
          <w:szCs w:val="24"/>
        </w:rPr>
      </w:pPr>
      <w:r w:rsidRPr="000D79B8">
        <w:rPr>
          <w:rFonts w:ascii="Times New Roman" w:hAnsi="Times New Roman" w:cs="Times New Roman"/>
          <w:sz w:val="24"/>
          <w:szCs w:val="24"/>
        </w:rPr>
        <w:t>FUNDAMENTAÇÃO E DESCRIÇÃO DA NECESSIDADE DA CONTRATAÇÃO</w:t>
      </w:r>
    </w:p>
    <w:p w14:paraId="7D828E54" w14:textId="77777777" w:rsidR="00D14701" w:rsidRPr="000D79B8" w:rsidRDefault="00477D65">
      <w:pPr>
        <w:pStyle w:val="Nivel2"/>
        <w:rPr>
          <w:rFonts w:ascii="Times New Roman" w:hAnsi="Times New Roman" w:cs="Times New Roman"/>
          <w:sz w:val="24"/>
          <w:szCs w:val="24"/>
        </w:rPr>
      </w:pPr>
      <w:commentRangeStart w:id="3"/>
      <w:r w:rsidRPr="000D79B8">
        <w:rPr>
          <w:rFonts w:ascii="Times New Roman" w:hAnsi="Times New Roman" w:cs="Times New Roman"/>
          <w:sz w:val="24"/>
          <w:szCs w:val="24"/>
        </w:rPr>
        <w:t>A Fundamentação da Contratação e de seus quantitativos encontra-se pormenorizada em Tópico específico dos Estudos Técnicos Preliminares, apêndice deste Termo de Referência.</w:t>
      </w:r>
      <w:commentRangeEnd w:id="3"/>
      <w:r w:rsidRPr="000D79B8">
        <w:rPr>
          <w:rFonts w:ascii="Times New Roman" w:hAnsi="Times New Roman" w:cs="Times New Roman"/>
          <w:sz w:val="24"/>
          <w:szCs w:val="24"/>
        </w:rPr>
        <w:commentReference w:id="3"/>
      </w:r>
    </w:p>
    <w:p w14:paraId="1D5A9FD6" w14:textId="2760E9E5"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objeto da contratação está previsto no Plano de Contratações Anual </w:t>
      </w:r>
      <w:r w:rsidR="00E05B5A" w:rsidRPr="000D79B8">
        <w:rPr>
          <w:rFonts w:ascii="Times New Roman" w:hAnsi="Times New Roman" w:cs="Times New Roman"/>
          <w:sz w:val="24"/>
          <w:szCs w:val="24"/>
        </w:rPr>
        <w:t>2023</w:t>
      </w:r>
      <w:r w:rsidRPr="000D79B8">
        <w:rPr>
          <w:rFonts w:ascii="Times New Roman" w:hAnsi="Times New Roman" w:cs="Times New Roman"/>
          <w:sz w:val="24"/>
          <w:szCs w:val="24"/>
        </w:rPr>
        <w:t>, conforme detalhamento a seguir:</w:t>
      </w:r>
    </w:p>
    <w:p w14:paraId="38B2916F" w14:textId="77777777" w:rsidR="00D14701" w:rsidRPr="000D79B8" w:rsidRDefault="00477D65" w:rsidP="0029498D">
      <w:pPr>
        <w:pStyle w:val="Nivel3"/>
        <w:numPr>
          <w:ilvl w:val="0"/>
          <w:numId w:val="16"/>
        </w:numPr>
        <w:ind w:left="0" w:firstLine="284"/>
        <w:rPr>
          <w:rFonts w:ascii="Times New Roman" w:hAnsi="Times New Roman" w:cs="Times New Roman"/>
          <w:sz w:val="24"/>
          <w:szCs w:val="24"/>
        </w:rPr>
      </w:pPr>
      <w:r w:rsidRPr="000D79B8">
        <w:rPr>
          <w:rFonts w:ascii="Times New Roman" w:hAnsi="Times New Roman" w:cs="Times New Roman"/>
          <w:sz w:val="24"/>
          <w:szCs w:val="24"/>
        </w:rPr>
        <w:t xml:space="preserve">ID PCA no PNCP: </w:t>
      </w:r>
      <w:r w:rsidRPr="000D79B8">
        <w:rPr>
          <w:rFonts w:ascii="Times New Roman" w:hAnsi="Times New Roman" w:cs="Times New Roman"/>
          <w:color w:val="000000" w:themeColor="text1"/>
          <w:sz w:val="24"/>
          <w:szCs w:val="24"/>
        </w:rPr>
        <w:t>[...]</w:t>
      </w:r>
      <w:r w:rsidRPr="000D79B8">
        <w:rPr>
          <w:rFonts w:ascii="Times New Roman" w:hAnsi="Times New Roman" w:cs="Times New Roman"/>
          <w:sz w:val="24"/>
          <w:szCs w:val="24"/>
        </w:rPr>
        <w:t>;</w:t>
      </w:r>
    </w:p>
    <w:p w14:paraId="35822E1C" w14:textId="77777777" w:rsidR="00D14701" w:rsidRPr="000D79B8" w:rsidRDefault="00477D65">
      <w:pPr>
        <w:pStyle w:val="Nivel3"/>
        <w:numPr>
          <w:ilvl w:val="0"/>
          <w:numId w:val="16"/>
        </w:numPr>
        <w:ind w:left="284" w:firstLine="0"/>
        <w:rPr>
          <w:rFonts w:ascii="Times New Roman" w:hAnsi="Times New Roman" w:cs="Times New Roman"/>
          <w:sz w:val="24"/>
          <w:szCs w:val="24"/>
        </w:rPr>
      </w:pPr>
      <w:r w:rsidRPr="000D79B8">
        <w:rPr>
          <w:rFonts w:ascii="Times New Roman" w:hAnsi="Times New Roman" w:cs="Times New Roman"/>
          <w:sz w:val="24"/>
          <w:szCs w:val="24"/>
        </w:rPr>
        <w:lastRenderedPageBreak/>
        <w:t xml:space="preserve">Data de publicação no PNCP: </w:t>
      </w:r>
      <w:r w:rsidRPr="000D79B8">
        <w:rPr>
          <w:rFonts w:ascii="Times New Roman" w:hAnsi="Times New Roman" w:cs="Times New Roman"/>
          <w:color w:val="000000" w:themeColor="text1"/>
          <w:sz w:val="24"/>
          <w:szCs w:val="24"/>
        </w:rPr>
        <w:t>[...];</w:t>
      </w:r>
    </w:p>
    <w:p w14:paraId="5E2FB965" w14:textId="77777777" w:rsidR="00D14701" w:rsidRPr="000D79B8" w:rsidRDefault="00477D65">
      <w:pPr>
        <w:pStyle w:val="Nivel3"/>
        <w:numPr>
          <w:ilvl w:val="0"/>
          <w:numId w:val="16"/>
        </w:numPr>
        <w:ind w:left="284" w:firstLine="0"/>
        <w:rPr>
          <w:rFonts w:ascii="Times New Roman" w:hAnsi="Times New Roman" w:cs="Times New Roman"/>
          <w:sz w:val="24"/>
          <w:szCs w:val="24"/>
        </w:rPr>
      </w:pPr>
      <w:r w:rsidRPr="000D79B8">
        <w:rPr>
          <w:rFonts w:ascii="Times New Roman" w:hAnsi="Times New Roman" w:cs="Times New Roman"/>
          <w:sz w:val="24"/>
          <w:szCs w:val="24"/>
        </w:rPr>
        <w:t xml:space="preserve">Id do item no PCA: </w:t>
      </w:r>
      <w:r w:rsidRPr="000D79B8">
        <w:rPr>
          <w:rFonts w:ascii="Times New Roman" w:hAnsi="Times New Roman" w:cs="Times New Roman"/>
          <w:color w:val="000000" w:themeColor="text1"/>
          <w:sz w:val="24"/>
          <w:szCs w:val="24"/>
        </w:rPr>
        <w:t>[...];</w:t>
      </w:r>
    </w:p>
    <w:p w14:paraId="67E82DA2" w14:textId="77777777" w:rsidR="00D14701" w:rsidRPr="000D79B8" w:rsidRDefault="00477D65">
      <w:pPr>
        <w:pStyle w:val="Nivel3"/>
        <w:numPr>
          <w:ilvl w:val="0"/>
          <w:numId w:val="16"/>
        </w:numPr>
        <w:ind w:left="284" w:firstLine="0"/>
        <w:rPr>
          <w:rFonts w:ascii="Times New Roman" w:hAnsi="Times New Roman" w:cs="Times New Roman"/>
          <w:sz w:val="24"/>
          <w:szCs w:val="24"/>
        </w:rPr>
      </w:pPr>
      <w:r w:rsidRPr="000D79B8">
        <w:rPr>
          <w:rFonts w:ascii="Times New Roman" w:hAnsi="Times New Roman" w:cs="Times New Roman"/>
          <w:sz w:val="24"/>
          <w:szCs w:val="24"/>
        </w:rPr>
        <w:t xml:space="preserve">Classe/Grupo: </w:t>
      </w:r>
      <w:r w:rsidRPr="000D79B8">
        <w:rPr>
          <w:rFonts w:ascii="Times New Roman" w:hAnsi="Times New Roman" w:cs="Times New Roman"/>
          <w:color w:val="000000" w:themeColor="text1"/>
          <w:sz w:val="24"/>
          <w:szCs w:val="24"/>
        </w:rPr>
        <w:t>[...];</w:t>
      </w:r>
    </w:p>
    <w:p w14:paraId="512B86CD" w14:textId="77777777" w:rsidR="00D14701" w:rsidRPr="000D79B8" w:rsidRDefault="00477D65">
      <w:pPr>
        <w:pStyle w:val="Nivel3"/>
        <w:numPr>
          <w:ilvl w:val="0"/>
          <w:numId w:val="16"/>
        </w:numPr>
        <w:ind w:left="284" w:firstLine="0"/>
        <w:rPr>
          <w:rFonts w:ascii="Times New Roman" w:hAnsi="Times New Roman" w:cs="Times New Roman"/>
          <w:sz w:val="24"/>
          <w:szCs w:val="24"/>
        </w:rPr>
      </w:pPr>
      <w:r w:rsidRPr="000D79B8">
        <w:rPr>
          <w:rFonts w:ascii="Times New Roman" w:hAnsi="Times New Roman" w:cs="Times New Roman"/>
          <w:sz w:val="24"/>
          <w:szCs w:val="24"/>
        </w:rPr>
        <w:t xml:space="preserve">Identificador da Futura Contratação: </w:t>
      </w:r>
      <w:r w:rsidRPr="000D79B8">
        <w:rPr>
          <w:rFonts w:ascii="Times New Roman" w:hAnsi="Times New Roman" w:cs="Times New Roman"/>
          <w:color w:val="000000" w:themeColor="text1"/>
          <w:sz w:val="24"/>
          <w:szCs w:val="24"/>
        </w:rPr>
        <w:t>[...].</w:t>
      </w:r>
    </w:p>
    <w:p w14:paraId="0DDF5658" w14:textId="77777777" w:rsidR="00D14701" w:rsidRPr="000D79B8" w:rsidRDefault="00477D65">
      <w:pPr>
        <w:pStyle w:val="Nivel01"/>
        <w:rPr>
          <w:rFonts w:ascii="Times New Roman" w:hAnsi="Times New Roman" w:cs="Times New Roman"/>
          <w:sz w:val="24"/>
          <w:szCs w:val="24"/>
        </w:rPr>
      </w:pPr>
      <w:r w:rsidRPr="000D79B8">
        <w:rPr>
          <w:rFonts w:ascii="Times New Roman" w:hAnsi="Times New Roman" w:cs="Times New Roman"/>
          <w:sz w:val="24"/>
          <w:szCs w:val="24"/>
        </w:rPr>
        <w:t>DESCRIÇÃO DA SOLUÇÃO COMO UM TODO CONSIDERADO O CICLO DE VIDA DO OBJETO E ESPECIFICAÇÃO DO PRODUTO</w:t>
      </w:r>
    </w:p>
    <w:p w14:paraId="4C0028B6" w14:textId="33A14452" w:rsidR="00D14701" w:rsidRPr="000D79B8" w:rsidRDefault="0029498D">
      <w:pPr>
        <w:spacing w:line="276" w:lineRule="auto"/>
        <w:ind w:firstLine="567"/>
        <w:jc w:val="both"/>
        <w:rPr>
          <w:rFonts w:ascii="Times New Roman" w:eastAsia="Arial" w:hAnsi="Times New Roman" w:cs="Times New Roman"/>
        </w:rPr>
      </w:pPr>
      <w:r w:rsidRPr="000D79B8">
        <w:rPr>
          <w:rFonts w:ascii="Times New Roman" w:eastAsia="Arial" w:hAnsi="Times New Roman" w:cs="Times New Roman"/>
        </w:rPr>
        <w:t>3.</w:t>
      </w:r>
      <w:proofErr w:type="gramStart"/>
      <w:r w:rsidRPr="000D79B8">
        <w:rPr>
          <w:rFonts w:ascii="Times New Roman" w:eastAsia="Arial" w:hAnsi="Times New Roman" w:cs="Times New Roman"/>
        </w:rPr>
        <w:t>1.</w:t>
      </w:r>
      <w:r w:rsidR="00477D65" w:rsidRPr="000D79B8">
        <w:rPr>
          <w:rFonts w:ascii="Times New Roman" w:eastAsia="Arial" w:hAnsi="Times New Roman" w:cs="Times New Roman"/>
        </w:rPr>
        <w:t>Conjunto</w:t>
      </w:r>
      <w:proofErr w:type="gramEnd"/>
      <w:r w:rsidR="00477D65" w:rsidRPr="000D79B8">
        <w:rPr>
          <w:rFonts w:ascii="Times New Roman" w:eastAsia="Arial" w:hAnsi="Times New Roman" w:cs="Times New Roman"/>
        </w:rPr>
        <w:t xml:space="preserve"> de segurança de inspeção de volumes, equipado com tecnologia de captura de imagens, integrado a portal detectores de metais conforme descrito na presente especificação, para instalação e funcionamento na unidade do </w:t>
      </w:r>
      <w:r w:rsidR="00477D65" w:rsidRPr="000D79B8">
        <w:rPr>
          <w:rFonts w:ascii="Times New Roman" w:eastAsia="Arial" w:hAnsi="Times New Roman" w:cs="Times New Roman"/>
          <w:highlight w:val="white"/>
        </w:rPr>
        <w:t>DCMUN</w:t>
      </w:r>
      <w:r w:rsidR="00477D65" w:rsidRPr="000D79B8">
        <w:rPr>
          <w:rFonts w:ascii="Times New Roman" w:eastAsia="Arial" w:hAnsi="Times New Roman" w:cs="Times New Roman"/>
        </w:rPr>
        <w:t>.</w:t>
      </w:r>
    </w:p>
    <w:p w14:paraId="3D26B78B" w14:textId="77777777" w:rsidR="00D14701" w:rsidRPr="000D79B8" w:rsidRDefault="00D14701">
      <w:pPr>
        <w:spacing w:line="276" w:lineRule="auto"/>
        <w:ind w:firstLine="567"/>
        <w:jc w:val="both"/>
        <w:rPr>
          <w:rFonts w:ascii="Times New Roman" w:eastAsia="Arial" w:hAnsi="Times New Roman" w:cs="Times New Roman"/>
        </w:rPr>
      </w:pPr>
    </w:p>
    <w:p w14:paraId="115C18C7" w14:textId="1E5B4DB1" w:rsidR="00D14701" w:rsidRPr="000D79B8" w:rsidRDefault="0029498D">
      <w:pPr>
        <w:spacing w:line="276" w:lineRule="auto"/>
        <w:ind w:firstLine="567"/>
        <w:jc w:val="both"/>
        <w:rPr>
          <w:rFonts w:ascii="Times New Roman" w:eastAsia="Arial" w:hAnsi="Times New Roman" w:cs="Times New Roman"/>
        </w:rPr>
      </w:pPr>
      <w:r w:rsidRPr="000D79B8">
        <w:rPr>
          <w:rFonts w:ascii="Times New Roman" w:eastAsia="Arial" w:hAnsi="Times New Roman" w:cs="Times New Roman"/>
        </w:rPr>
        <w:t>3.2.</w:t>
      </w:r>
      <w:r w:rsidR="00477D65" w:rsidRPr="000D79B8">
        <w:rPr>
          <w:rFonts w:ascii="Times New Roman" w:eastAsia="Arial" w:hAnsi="Times New Roman" w:cs="Times New Roman"/>
        </w:rPr>
        <w:t>Este projeto contemplará aquisição do scanner compacto de volumes, estação de controle e análise de imagens (composta por monitor para visualização das imagens, dispositivos de processamento e controle do scanner, entre outros), bem como quaisquer subsistemas, equipamentos, unidades, interfaces, softwares, instrumentos, ferramentas, licenças de utilização, etc., que não foram especificamente requeridos mas sejam obrigatoriamente necessários ao funcionamento dos equipamentos nas condições previstas nesta especificação.</w:t>
      </w:r>
    </w:p>
    <w:p w14:paraId="152F567F" w14:textId="77777777" w:rsidR="00D14701" w:rsidRPr="000D79B8" w:rsidRDefault="00D14701">
      <w:pPr>
        <w:spacing w:line="276" w:lineRule="auto"/>
        <w:ind w:firstLine="567"/>
        <w:jc w:val="both"/>
        <w:rPr>
          <w:rFonts w:ascii="Times New Roman" w:eastAsia="Arial" w:hAnsi="Times New Roman" w:cs="Times New Roman"/>
        </w:rPr>
      </w:pPr>
    </w:p>
    <w:p w14:paraId="5416158F" w14:textId="7EA54ECB" w:rsidR="00D14701" w:rsidRPr="000D79B8" w:rsidRDefault="0029498D">
      <w:pPr>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           3.</w:t>
      </w:r>
      <w:proofErr w:type="gramStart"/>
      <w:r w:rsidRPr="000D79B8">
        <w:rPr>
          <w:rFonts w:ascii="Times New Roman" w:eastAsia="Arial" w:hAnsi="Times New Roman" w:cs="Times New Roman"/>
        </w:rPr>
        <w:t>3.</w:t>
      </w:r>
      <w:r w:rsidR="00477D65" w:rsidRPr="000D79B8">
        <w:rPr>
          <w:rFonts w:ascii="Times New Roman" w:eastAsia="Arial" w:hAnsi="Times New Roman" w:cs="Times New Roman"/>
        </w:rPr>
        <w:t>Os</w:t>
      </w:r>
      <w:proofErr w:type="gramEnd"/>
      <w:r w:rsidR="00477D65" w:rsidRPr="000D79B8">
        <w:rPr>
          <w:rFonts w:ascii="Times New Roman" w:eastAsia="Arial" w:hAnsi="Times New Roman" w:cs="Times New Roman"/>
        </w:rPr>
        <w:t xml:space="preserve"> equipamentos devem, </w:t>
      </w:r>
      <w:r w:rsidR="00477D65" w:rsidRPr="000D79B8">
        <w:rPr>
          <w:rFonts w:ascii="Times New Roman" w:eastAsia="Arial" w:hAnsi="Times New Roman" w:cs="Times New Roman"/>
          <w:bCs/>
        </w:rPr>
        <w:t>obrigatoriamente,</w:t>
      </w:r>
      <w:r w:rsidR="00477D65" w:rsidRPr="000D79B8">
        <w:rPr>
          <w:rFonts w:ascii="Times New Roman" w:eastAsia="Arial" w:hAnsi="Times New Roman" w:cs="Times New Roman"/>
          <w:b/>
          <w:bCs/>
        </w:rPr>
        <w:t xml:space="preserve"> </w:t>
      </w:r>
      <w:r w:rsidR="00477D65" w:rsidRPr="000D79B8">
        <w:rPr>
          <w:rFonts w:ascii="Times New Roman" w:eastAsia="Arial" w:hAnsi="Times New Roman" w:cs="Times New Roman"/>
        </w:rPr>
        <w:t>atender a todos os requisitos das legislações da Comissão Nacional de Energia Nuclear (CNEN) e registro no INMETRO e serem da linha de produção ativa do fabricante. Não serão aceitas, na Licitação, propostas que ofertem protótipos, equipamentos reformados, descontinuados, usados, nem em desenvolvimento. Os equipamentos devem ser entregues completos e prontos para entrar em operação imediata, acrescido de todos os acessórios e com acesso total a todas as funções operacionais. As exigências supracitadas aplicam-se também aos demais equipamentos e materiais que comporão a solução.</w:t>
      </w:r>
    </w:p>
    <w:p w14:paraId="0E19BB5D" w14:textId="468B6AA8" w:rsidR="00D14701" w:rsidRPr="000D79B8" w:rsidRDefault="0029498D" w:rsidP="0029498D">
      <w:pPr>
        <w:pStyle w:val="Nvel2-Red"/>
        <w:numPr>
          <w:ilvl w:val="0"/>
          <w:numId w:val="0"/>
        </w:numPr>
        <w:ind w:firstLine="567"/>
        <w:rPr>
          <w:rFonts w:ascii="Times New Roman" w:hAnsi="Times New Roman" w:cs="Times New Roman"/>
          <w:i w:val="0"/>
          <w:iCs w:val="0"/>
          <w:sz w:val="24"/>
          <w:szCs w:val="24"/>
        </w:rPr>
      </w:pPr>
      <w:r w:rsidRPr="000D79B8">
        <w:rPr>
          <w:rFonts w:ascii="Times New Roman" w:hAnsi="Times New Roman" w:cs="Times New Roman"/>
          <w:i w:val="0"/>
          <w:iCs w:val="0"/>
          <w:color w:val="000000" w:themeColor="text1"/>
          <w:sz w:val="24"/>
          <w:szCs w:val="24"/>
        </w:rPr>
        <w:t>3.4.</w:t>
      </w:r>
      <w:commentRangeStart w:id="4"/>
      <w:r w:rsidR="00477D65" w:rsidRPr="000D79B8">
        <w:rPr>
          <w:rFonts w:ascii="Times New Roman" w:hAnsi="Times New Roman" w:cs="Times New Roman"/>
          <w:i w:val="0"/>
          <w:iCs w:val="0"/>
          <w:color w:val="000000" w:themeColor="text1"/>
          <w:sz w:val="24"/>
          <w:szCs w:val="24"/>
        </w:rPr>
        <w:t>A descrição da solução como um todo encontra-se pormenorizada em tópico específico dos Estudos Técnicos Preliminares, apêndice deste Termo de Referência.</w:t>
      </w:r>
      <w:commentRangeEnd w:id="4"/>
      <w:r w:rsidR="00477D65" w:rsidRPr="000D79B8">
        <w:rPr>
          <w:rFonts w:ascii="Times New Roman" w:hAnsi="Times New Roman" w:cs="Times New Roman"/>
          <w:i w:val="0"/>
          <w:iCs w:val="0"/>
          <w:sz w:val="24"/>
          <w:szCs w:val="24"/>
        </w:rPr>
        <w:commentReference w:id="4"/>
      </w:r>
    </w:p>
    <w:p w14:paraId="0032CF41" w14:textId="77777777" w:rsidR="00D14701" w:rsidRPr="000D79B8" w:rsidRDefault="00477D65">
      <w:pPr>
        <w:pStyle w:val="Nivel01"/>
        <w:rPr>
          <w:rFonts w:ascii="Times New Roman" w:hAnsi="Times New Roman" w:cs="Times New Roman"/>
          <w:sz w:val="24"/>
          <w:szCs w:val="24"/>
        </w:rPr>
      </w:pPr>
      <w:commentRangeStart w:id="5"/>
      <w:r w:rsidRPr="000D79B8">
        <w:rPr>
          <w:rFonts w:ascii="Times New Roman" w:hAnsi="Times New Roman" w:cs="Times New Roman"/>
          <w:sz w:val="24"/>
          <w:szCs w:val="24"/>
        </w:rPr>
        <w:t>REQUISITOS DA CONTRATAÇÃO</w:t>
      </w:r>
      <w:commentRangeEnd w:id="5"/>
      <w:r w:rsidRPr="000D79B8">
        <w:rPr>
          <w:rFonts w:ascii="Times New Roman" w:hAnsi="Times New Roman" w:cs="Times New Roman"/>
          <w:sz w:val="24"/>
          <w:szCs w:val="24"/>
        </w:rPr>
        <w:commentReference w:id="5"/>
      </w:r>
    </w:p>
    <w:p w14:paraId="632D9298"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Sustentabilidade:</w:t>
      </w:r>
    </w:p>
    <w:p w14:paraId="665DCBB9" w14:textId="77777777" w:rsidR="00D14701" w:rsidRPr="000D79B8" w:rsidRDefault="00477D65">
      <w:pPr>
        <w:pStyle w:val="Nivel2"/>
        <w:rPr>
          <w:rFonts w:ascii="Times New Roman" w:hAnsi="Times New Roman" w:cs="Times New Roman"/>
          <w:sz w:val="24"/>
          <w:szCs w:val="24"/>
          <w:shd w:val="clear" w:color="auto" w:fill="FFFFFF"/>
        </w:rPr>
      </w:pPr>
      <w:commentRangeStart w:id="6"/>
      <w:r w:rsidRPr="000D79B8">
        <w:rPr>
          <w:rFonts w:ascii="Times New Roman" w:hAnsi="Times New Roman" w:cs="Times New Roman"/>
          <w:sz w:val="24"/>
          <w:szCs w:val="24"/>
        </w:rPr>
        <w:t>Além dos critérios de sustentabilidade eventualmente inseridos na descrição do objeto, devem ser atendidos os seguintes requisitos, que se baseiam no Guia Nacional de Contratações Sustentáveis:</w:t>
      </w:r>
    </w:p>
    <w:p w14:paraId="375D77BC" w14:textId="25B87276" w:rsidR="00D14701" w:rsidRPr="000D79B8" w:rsidRDefault="00477D65">
      <w:pPr>
        <w:pStyle w:val="Nvel3-R"/>
        <w:rPr>
          <w:rFonts w:ascii="Times New Roman" w:hAnsi="Times New Roman" w:cs="Times New Roman"/>
          <w:i w:val="0"/>
          <w:iCs w:val="0"/>
          <w:color w:val="000000"/>
          <w:sz w:val="24"/>
          <w:szCs w:val="24"/>
          <w:shd w:val="clear" w:color="auto" w:fill="FFFFFF"/>
        </w:rPr>
      </w:pPr>
      <w:r w:rsidRPr="000D79B8">
        <w:rPr>
          <w:rFonts w:ascii="Times New Roman" w:eastAsia="Arial" w:hAnsi="Times New Roman" w:cs="Times New Roman"/>
          <w:i w:val="0"/>
          <w:iCs w:val="0"/>
          <w:color w:val="444444"/>
          <w:sz w:val="24"/>
          <w:szCs w:val="24"/>
          <w:highlight w:val="white"/>
        </w:rPr>
        <w:t xml:space="preserve"> </w:t>
      </w:r>
      <w:r w:rsidRPr="000D79B8">
        <w:rPr>
          <w:rFonts w:ascii="Times New Roman" w:eastAsia="Arial" w:hAnsi="Times New Roman" w:cs="Times New Roman"/>
          <w:i w:val="0"/>
          <w:iCs w:val="0"/>
          <w:color w:val="000000" w:themeColor="text1"/>
          <w:sz w:val="24"/>
          <w:szCs w:val="24"/>
          <w:highlight w:val="white"/>
        </w:rPr>
        <w:t>O Termo de Referência e os Estudos Técnicos Preliminares deverão estar alinhados com o Plano Diretor de Logística Sustentável, Plano de Contratações Anual além de outros instrumentos de planejamento da Administração, de acordo com o art. 7º da IN Seges/ME nº 81, de 2022, e art. 7º, da Instrução Normativa Seges</w:t>
      </w:r>
      <w:r w:rsidR="00E72E81" w:rsidRPr="000D79B8">
        <w:rPr>
          <w:rFonts w:ascii="Times New Roman" w:eastAsia="Arial" w:hAnsi="Times New Roman" w:cs="Times New Roman"/>
          <w:i w:val="0"/>
          <w:iCs w:val="0"/>
          <w:color w:val="000000" w:themeColor="text1"/>
          <w:sz w:val="24"/>
          <w:szCs w:val="24"/>
          <w:highlight w:val="white"/>
        </w:rPr>
        <w:t xml:space="preserve"> </w:t>
      </w:r>
      <w:r w:rsidRPr="000D79B8">
        <w:rPr>
          <w:rFonts w:ascii="Times New Roman" w:eastAsia="Arial" w:hAnsi="Times New Roman" w:cs="Times New Roman"/>
          <w:i w:val="0"/>
          <w:iCs w:val="0"/>
          <w:color w:val="000000" w:themeColor="text1"/>
          <w:sz w:val="24"/>
          <w:szCs w:val="24"/>
          <w:highlight w:val="white"/>
        </w:rPr>
        <w:t>ME nº 58, de 2022.</w:t>
      </w:r>
      <w:commentRangeEnd w:id="6"/>
      <w:r w:rsidRPr="000D79B8">
        <w:rPr>
          <w:rFonts w:ascii="Times New Roman" w:hAnsi="Times New Roman" w:cs="Times New Roman"/>
          <w:i w:val="0"/>
          <w:iCs w:val="0"/>
          <w:sz w:val="24"/>
          <w:szCs w:val="24"/>
        </w:rPr>
        <w:commentReference w:id="6"/>
      </w:r>
    </w:p>
    <w:p w14:paraId="52FAE34C"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lastRenderedPageBreak/>
        <w:t>Subcontratação</w:t>
      </w:r>
    </w:p>
    <w:p w14:paraId="7DEECBD3" w14:textId="77777777" w:rsidR="00D14701" w:rsidRPr="000D79B8" w:rsidRDefault="00477D65">
      <w:pPr>
        <w:pStyle w:val="Nivel2"/>
        <w:rPr>
          <w:rFonts w:ascii="Times New Roman" w:hAnsi="Times New Roman" w:cs="Times New Roman"/>
          <w:sz w:val="24"/>
          <w:szCs w:val="24"/>
        </w:rPr>
      </w:pPr>
      <w:commentRangeStart w:id="7"/>
      <w:r w:rsidRPr="000D79B8">
        <w:rPr>
          <w:rFonts w:ascii="Times New Roman" w:hAnsi="Times New Roman" w:cs="Times New Roman"/>
          <w:sz w:val="24"/>
          <w:szCs w:val="24"/>
        </w:rPr>
        <w:t>Não é admitida a subcontratação do objeto contratual.</w:t>
      </w:r>
      <w:commentRangeEnd w:id="7"/>
      <w:r w:rsidRPr="000D79B8">
        <w:rPr>
          <w:rFonts w:ascii="Times New Roman" w:hAnsi="Times New Roman" w:cs="Times New Roman"/>
          <w:sz w:val="24"/>
          <w:szCs w:val="24"/>
        </w:rPr>
        <w:commentReference w:id="7"/>
      </w:r>
    </w:p>
    <w:p w14:paraId="38173034" w14:textId="77777777" w:rsidR="00D14701" w:rsidRPr="000D79B8" w:rsidRDefault="00477D65">
      <w:pPr>
        <w:pStyle w:val="Nvel1-SemNumPreto"/>
        <w:rPr>
          <w:rFonts w:ascii="Times New Roman" w:hAnsi="Times New Roman" w:cs="Times New Roman"/>
          <w:sz w:val="24"/>
          <w:szCs w:val="24"/>
        </w:rPr>
      </w:pPr>
      <w:commentRangeStart w:id="8"/>
      <w:r w:rsidRPr="000D79B8">
        <w:rPr>
          <w:rFonts w:ascii="Times New Roman" w:hAnsi="Times New Roman" w:cs="Times New Roman"/>
          <w:sz w:val="24"/>
          <w:szCs w:val="24"/>
        </w:rPr>
        <w:t>Garantia da contratação</w:t>
      </w:r>
      <w:commentRangeEnd w:id="8"/>
      <w:r w:rsidRPr="000D79B8">
        <w:rPr>
          <w:rFonts w:ascii="Times New Roman" w:hAnsi="Times New Roman" w:cs="Times New Roman"/>
          <w:sz w:val="24"/>
          <w:szCs w:val="24"/>
        </w:rPr>
        <w:commentReference w:id="8"/>
      </w:r>
    </w:p>
    <w:p w14:paraId="7B43347D" w14:textId="77777777" w:rsidR="00D14701" w:rsidRPr="000D79B8" w:rsidRDefault="00477D65">
      <w:pPr>
        <w:pStyle w:val="Nvel2-Red"/>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 xml:space="preserve">Não haverá exigência da garantia da contratação dos </w:t>
      </w:r>
      <w:hyperlink r:id="rId12" w:anchor="art96" w:tooltip="http://www.planalto.gov.br/ccivil_03/_ato2019-2022/2021/lei/L14133.htm#art96" w:history="1">
        <w:r w:rsidRPr="000D79B8">
          <w:rPr>
            <w:rStyle w:val="Hyperlink"/>
            <w:rFonts w:ascii="Times New Roman" w:hAnsi="Times New Roman" w:cs="Times New Roman"/>
            <w:i w:val="0"/>
            <w:iCs w:val="0"/>
            <w:color w:val="000000" w:themeColor="text1"/>
            <w:sz w:val="24"/>
            <w:szCs w:val="24"/>
          </w:rPr>
          <w:t>artigos 96 e seguintes da Lei nº 14.133, de 2021</w:t>
        </w:r>
      </w:hyperlink>
      <w:r w:rsidRPr="000D79B8">
        <w:rPr>
          <w:rFonts w:ascii="Times New Roman" w:hAnsi="Times New Roman" w:cs="Times New Roman"/>
          <w:i w:val="0"/>
          <w:iCs w:val="0"/>
          <w:color w:val="000000" w:themeColor="text1"/>
          <w:sz w:val="24"/>
          <w:szCs w:val="24"/>
        </w:rPr>
        <w:t>, pelas razões constantes do Estudo Técnico Preliminar.</w:t>
      </w:r>
    </w:p>
    <w:p w14:paraId="5C41A2C2" w14:textId="77777777" w:rsidR="00D14701" w:rsidRPr="000D79B8" w:rsidRDefault="00477D65">
      <w:pPr>
        <w:pStyle w:val="Nivel01"/>
        <w:rPr>
          <w:rFonts w:ascii="Times New Roman" w:hAnsi="Times New Roman" w:cs="Times New Roman"/>
          <w:sz w:val="24"/>
          <w:szCs w:val="24"/>
        </w:rPr>
      </w:pPr>
      <w:commentRangeStart w:id="9"/>
      <w:r w:rsidRPr="000D79B8">
        <w:rPr>
          <w:rFonts w:ascii="Times New Roman" w:hAnsi="Times New Roman" w:cs="Times New Roman"/>
          <w:sz w:val="24"/>
          <w:szCs w:val="24"/>
        </w:rPr>
        <w:t>MODELO DE EXECUÇÃO DO OBJETO</w:t>
      </w:r>
      <w:commentRangeEnd w:id="9"/>
      <w:r w:rsidRPr="000D79B8">
        <w:rPr>
          <w:rFonts w:ascii="Times New Roman" w:hAnsi="Times New Roman" w:cs="Times New Roman"/>
          <w:sz w:val="24"/>
          <w:szCs w:val="24"/>
        </w:rPr>
        <w:commentReference w:id="9"/>
      </w:r>
    </w:p>
    <w:p w14:paraId="76E5076B" w14:textId="77777777" w:rsidR="00D14701" w:rsidRPr="000D79B8" w:rsidRDefault="00477D65">
      <w:pPr>
        <w:pStyle w:val="Nvel1-SemNum"/>
        <w:rPr>
          <w:rFonts w:ascii="Times New Roman" w:hAnsi="Times New Roman" w:cs="Times New Roman"/>
          <w:color w:val="000000"/>
          <w:sz w:val="24"/>
          <w:szCs w:val="24"/>
        </w:rPr>
      </w:pPr>
      <w:r w:rsidRPr="000D79B8">
        <w:rPr>
          <w:rFonts w:ascii="Times New Roman" w:hAnsi="Times New Roman" w:cs="Times New Roman"/>
          <w:color w:val="000000" w:themeColor="text1"/>
          <w:sz w:val="24"/>
          <w:szCs w:val="24"/>
        </w:rPr>
        <w:t>Condições de Entrega</w:t>
      </w:r>
    </w:p>
    <w:p w14:paraId="4B5A9413" w14:textId="77777777" w:rsidR="00D14701" w:rsidRPr="000D79B8" w:rsidRDefault="00477D65">
      <w:pPr>
        <w:pStyle w:val="Nvel2-Red"/>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 xml:space="preserve">O prazo de entrega dos bens é de 30 dias, contados do recebimento da nota de empenho, em remessa única. </w:t>
      </w:r>
    </w:p>
    <w:p w14:paraId="6CEF6EA6" w14:textId="77777777" w:rsidR="00D14701" w:rsidRPr="000D79B8" w:rsidRDefault="00477D65">
      <w:pPr>
        <w:pStyle w:val="Nvel2-Red"/>
        <w:rPr>
          <w:rFonts w:ascii="Times New Roman" w:hAnsi="Times New Roman" w:cs="Times New Roman"/>
          <w:i w:val="0"/>
          <w:iCs w:val="0"/>
          <w:sz w:val="24"/>
          <w:szCs w:val="24"/>
        </w:rPr>
      </w:pPr>
      <w:r w:rsidRPr="000D79B8">
        <w:rPr>
          <w:rFonts w:ascii="Times New Roman" w:hAnsi="Times New Roman" w:cs="Times New Roman"/>
          <w:i w:val="0"/>
          <w:iCs w:val="0"/>
          <w:color w:val="000000" w:themeColor="text1"/>
          <w:sz w:val="24"/>
          <w:szCs w:val="24"/>
        </w:rPr>
        <w:t>Caso não seja possível a entrega na data assinalada, a empresa deverá comunicar as razões respectivas com pelo menos 7 dias de antecedência para que qualquer pleito de prorrogação de prazo seja analisado, ressalvadas situações de caso fortuito e força maior.</w:t>
      </w:r>
    </w:p>
    <w:p w14:paraId="3874B6AA" w14:textId="77777777" w:rsidR="00D14701" w:rsidRPr="000D79B8" w:rsidRDefault="00477D65">
      <w:pPr>
        <w:pStyle w:val="Nivel2"/>
        <w:rPr>
          <w:rFonts w:ascii="Times New Roman" w:hAnsi="Times New Roman" w:cs="Times New Roman"/>
          <w:sz w:val="24"/>
          <w:szCs w:val="24"/>
        </w:rPr>
      </w:pPr>
      <w:commentRangeStart w:id="10"/>
      <w:r w:rsidRPr="000D79B8">
        <w:rPr>
          <w:rFonts w:ascii="Times New Roman" w:hAnsi="Times New Roman" w:cs="Times New Roman"/>
          <w:sz w:val="24"/>
          <w:szCs w:val="24"/>
        </w:rPr>
        <w:t>Os bens deverão ser entregues no seguinte endereço Estrada do Cabral (RJ 127), KM 06, Paracambi-RJ, CEP: 26600-000</w:t>
      </w:r>
      <w:commentRangeEnd w:id="10"/>
      <w:r w:rsidRPr="000D79B8">
        <w:rPr>
          <w:rFonts w:ascii="Times New Roman" w:hAnsi="Times New Roman" w:cs="Times New Roman"/>
          <w:sz w:val="24"/>
          <w:szCs w:val="24"/>
        </w:rPr>
        <w:commentReference w:id="10"/>
      </w:r>
    </w:p>
    <w:p w14:paraId="6E0CE727" w14:textId="77777777" w:rsidR="00D14701" w:rsidRPr="000D79B8" w:rsidRDefault="00477D65">
      <w:pPr>
        <w:pStyle w:val="Nvel1-SemNumPreto"/>
        <w:rPr>
          <w:rFonts w:ascii="Times New Roman" w:hAnsi="Times New Roman" w:cs="Times New Roman"/>
          <w:sz w:val="24"/>
          <w:szCs w:val="24"/>
        </w:rPr>
      </w:pPr>
      <w:commentRangeStart w:id="11"/>
      <w:r w:rsidRPr="000D79B8">
        <w:rPr>
          <w:rFonts w:ascii="Times New Roman" w:hAnsi="Times New Roman" w:cs="Times New Roman"/>
          <w:sz w:val="24"/>
          <w:szCs w:val="24"/>
        </w:rPr>
        <w:t>Garantia, manutenção e assistência técnica</w:t>
      </w:r>
      <w:commentRangeEnd w:id="11"/>
      <w:r w:rsidRPr="000D79B8">
        <w:rPr>
          <w:rFonts w:ascii="Times New Roman" w:hAnsi="Times New Roman" w:cs="Times New Roman"/>
          <w:sz w:val="24"/>
          <w:szCs w:val="24"/>
        </w:rPr>
        <w:commentReference w:id="11"/>
      </w:r>
    </w:p>
    <w:p w14:paraId="00DE913C"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rPr>
        <w:t>A assistência técnica deverá ser durante o período da garantia de 12 (dose) meses.</w:t>
      </w:r>
    </w:p>
    <w:p w14:paraId="75765282"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rPr>
        <w:t>A CONTRATADA deverá garantir a existência de peças e partes para reposição, de acordo com o art. 32, do Código de defesa do Consumidor.</w:t>
      </w:r>
    </w:p>
    <w:p w14:paraId="5748370F"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rPr>
        <w:t>A assistência técnica deverá ser realizada no local da instalação, até no máximo 48 (quarenta e oito) horas do recebimento de comunicação formal (escrito, telefone ou e-mail) da área responsável pela contratante, em horário comercial de segunda a sexta feita.</w:t>
      </w:r>
    </w:p>
    <w:p w14:paraId="08752407"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rPr>
        <w:t>A CONTRATADA prestará Assistência Técnica do equipamento ofertado, durante todo o período de garantia, de acordo com os manuais e normas técnicas específicas do fabricante e do CNEN respectivamente, a fim de manter os equipamentos em perfeitas condições de uso, sem qualquer ônus adicional para a CONTRATANTE.</w:t>
      </w:r>
    </w:p>
    <w:p w14:paraId="10F3D166"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rPr>
        <w:t>A assistência técnica contemplará todos os procedimentos necessários para manter o equipamento de segurança, objeto deste Termo, em perfeitas condições de funcionamento, incluindo a substituição de peças ou do equipamento que apresentar defeito durante o período de garantia, que serão fornecidas pela CONTRATADA</w:t>
      </w:r>
    </w:p>
    <w:p w14:paraId="74B4FA03" w14:textId="77777777" w:rsidR="00D14701" w:rsidRPr="000D79B8" w:rsidRDefault="00477D65">
      <w:pPr>
        <w:spacing w:line="276" w:lineRule="auto"/>
        <w:jc w:val="both"/>
        <w:rPr>
          <w:rFonts w:ascii="Times New Roman" w:eastAsia="Arial" w:hAnsi="Times New Roman" w:cs="Times New Roman"/>
        </w:rPr>
      </w:pPr>
      <w:r w:rsidRPr="000D79B8">
        <w:rPr>
          <w:rFonts w:ascii="Times New Roman" w:eastAsia="Arial" w:hAnsi="Times New Roman" w:cs="Times New Roman"/>
        </w:rPr>
        <w:t>A CONTRATADA, durante o período de garantia, deverá disponibilizar e fornecer, sem ônus para a CONTRATANTE, todas as peças ou componentes originais, atendendo as especificações técnicas da fabricante forma que possibilite sempre o perfeito funcionamento do equipamento de acordo com as normas da CNEN.</w:t>
      </w:r>
    </w:p>
    <w:p w14:paraId="5DE83BA0" w14:textId="77777777" w:rsidR="00D14701" w:rsidRPr="000D79B8" w:rsidRDefault="00477D65">
      <w:pPr>
        <w:widowControl w:val="0"/>
        <w:spacing w:line="276" w:lineRule="auto"/>
        <w:jc w:val="both"/>
        <w:rPr>
          <w:rFonts w:ascii="Times New Roman" w:eastAsia="Arial" w:hAnsi="Times New Roman" w:cs="Times New Roman"/>
        </w:rPr>
      </w:pPr>
      <w:r w:rsidRPr="000D79B8">
        <w:rPr>
          <w:rFonts w:ascii="Times New Roman" w:eastAsia="Arial" w:hAnsi="Times New Roman" w:cs="Times New Roman"/>
        </w:rPr>
        <w:t xml:space="preserve">A remoção do equipamento, peças ou componentes, quando necessário para a execução dos serviços de assistência técnica (manutenção corretiva) em oficina da CONTRATADA, ou outro local, por ela </w:t>
      </w:r>
      <w:r w:rsidRPr="000D79B8">
        <w:rPr>
          <w:rFonts w:ascii="Times New Roman" w:eastAsia="Arial" w:hAnsi="Times New Roman" w:cs="Times New Roman"/>
        </w:rPr>
        <w:lastRenderedPageBreak/>
        <w:t xml:space="preserve">indicado, dar-se-á após autorização prévia do Gestor do Contrato, sem custo adicional para a CONTRATANTE, quanto às despesas referentes à retirada, remessa, devolução e a posterior reinstalação; </w:t>
      </w:r>
    </w:p>
    <w:p w14:paraId="314450C1" w14:textId="77777777" w:rsidR="00D14701" w:rsidRPr="000D79B8" w:rsidRDefault="00477D65">
      <w:pPr>
        <w:pStyle w:val="Nvel2-Red"/>
        <w:numPr>
          <w:ilvl w:val="0"/>
          <w:numId w:val="0"/>
        </w:numPr>
        <w:ind w:left="360"/>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24DAB79C" w14:textId="77777777" w:rsidR="00D14701" w:rsidRPr="000D79B8" w:rsidRDefault="00477D65">
      <w:pPr>
        <w:pStyle w:val="Nvel2-Red"/>
        <w:numPr>
          <w:ilvl w:val="0"/>
          <w:numId w:val="0"/>
        </w:numPr>
        <w:ind w:left="360"/>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 xml:space="preserve">O custo referente ao transporte dos equipamentos cobertos pela garantia será de responsabilidade do Contratado. </w:t>
      </w:r>
    </w:p>
    <w:p w14:paraId="75C297B0" w14:textId="77777777" w:rsidR="00D14701" w:rsidRPr="000D79B8" w:rsidRDefault="00477D65">
      <w:pPr>
        <w:pStyle w:val="Nvel2-Red"/>
        <w:numPr>
          <w:ilvl w:val="0"/>
          <w:numId w:val="0"/>
        </w:numPr>
        <w:ind w:left="360"/>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54227BC" w14:textId="77777777" w:rsidR="00D14701" w:rsidRPr="000D79B8" w:rsidRDefault="00477D65">
      <w:pPr>
        <w:pStyle w:val="Nivel01"/>
        <w:rPr>
          <w:rFonts w:ascii="Times New Roman" w:hAnsi="Times New Roman" w:cs="Times New Roman"/>
          <w:sz w:val="24"/>
          <w:szCs w:val="24"/>
        </w:rPr>
      </w:pPr>
      <w:r w:rsidRPr="000D79B8">
        <w:rPr>
          <w:rFonts w:ascii="Times New Roman" w:hAnsi="Times New Roman" w:cs="Times New Roman"/>
          <w:sz w:val="24"/>
          <w:szCs w:val="24"/>
        </w:rPr>
        <w:t>MODELO DE GESTÃO DO CONTRATO</w:t>
      </w:r>
    </w:p>
    <w:p w14:paraId="15FB2740"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5F1D6E75"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07235ECA"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72F82E84"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O órgão ou entidade poderá convocar representante da empresa para adoção de providências que devam ser cumpridas de imediato.</w:t>
      </w:r>
    </w:p>
    <w:p w14:paraId="361D7491"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 Após a assinatura do contrato ou instrumento equivalente</w:t>
      </w:r>
      <w:r w:rsidRPr="000D79B8">
        <w:rPr>
          <w:rFonts w:ascii="Times New Roman" w:hAnsi="Times New Roman" w:cs="Times New Roman"/>
          <w:strike/>
          <w:sz w:val="24"/>
          <w:szCs w:val="24"/>
        </w:rPr>
        <w:t>,</w:t>
      </w:r>
      <w:r w:rsidRPr="000D79B8">
        <w:rPr>
          <w:rFonts w:ascii="Times New Roman" w:hAnsi="Times New Roman"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30DA6D5" w14:textId="77777777" w:rsidR="00D14701" w:rsidRPr="000D79B8" w:rsidRDefault="00477D65">
      <w:pPr>
        <w:pStyle w:val="Nivel2"/>
        <w:numPr>
          <w:ilvl w:val="0"/>
          <w:numId w:val="0"/>
        </w:numPr>
        <w:rPr>
          <w:rFonts w:ascii="Times New Roman" w:hAnsi="Times New Roman" w:cs="Times New Roman"/>
          <w:sz w:val="24"/>
          <w:szCs w:val="24"/>
        </w:rPr>
      </w:pPr>
      <w:r w:rsidRPr="000D79B8">
        <w:rPr>
          <w:rFonts w:ascii="Times New Roman" w:hAnsi="Times New Roman" w:cs="Times New Roman"/>
          <w:sz w:val="24"/>
          <w:szCs w:val="24"/>
        </w:rPr>
        <w:t>Fiscalização</w:t>
      </w:r>
    </w:p>
    <w:p w14:paraId="5DC61025" w14:textId="77777777" w:rsidR="00D14701" w:rsidRPr="000D79B8" w:rsidRDefault="00477D65">
      <w:pPr>
        <w:pStyle w:val="Nivel2"/>
        <w:rPr>
          <w:rFonts w:ascii="Times New Roman" w:hAnsi="Times New Roman" w:cs="Times New Roman"/>
          <w:sz w:val="24"/>
          <w:szCs w:val="24"/>
        </w:rPr>
      </w:pPr>
      <w:commentRangeStart w:id="12"/>
      <w:r w:rsidRPr="000D79B8">
        <w:rPr>
          <w:rFonts w:ascii="Times New Roman" w:hAnsi="Times New Roman" w:cs="Times New Roman"/>
          <w:sz w:val="24"/>
          <w:szCs w:val="24"/>
        </w:rPr>
        <w:t>A execução do contrato deverá ser acompanhada e fiscalizada pelo(s) fiscal(</w:t>
      </w:r>
      <w:proofErr w:type="spellStart"/>
      <w:r w:rsidRPr="000D79B8">
        <w:rPr>
          <w:rFonts w:ascii="Times New Roman" w:hAnsi="Times New Roman" w:cs="Times New Roman"/>
          <w:sz w:val="24"/>
          <w:szCs w:val="24"/>
        </w:rPr>
        <w:t>is</w:t>
      </w:r>
      <w:proofErr w:type="spellEnd"/>
      <w:r w:rsidRPr="000D79B8">
        <w:rPr>
          <w:rFonts w:ascii="Times New Roman" w:hAnsi="Times New Roman" w:cs="Times New Roman"/>
          <w:sz w:val="24"/>
          <w:szCs w:val="24"/>
        </w:rPr>
        <w:t>) do contrato, ou pelos respectivos substitutos (</w:t>
      </w:r>
      <w:hyperlink r:id="rId13" w:anchor="art117" w:tooltip="http://www.planalto.gov.br/ccivil_03/_ato2019-2022/2021/lei/L14133.htm#art117" w:history="1">
        <w:r w:rsidRPr="000D79B8">
          <w:rPr>
            <w:rStyle w:val="Hyperlink"/>
            <w:rFonts w:ascii="Times New Roman" w:hAnsi="Times New Roman" w:cs="Times New Roman"/>
            <w:sz w:val="24"/>
            <w:szCs w:val="24"/>
          </w:rPr>
          <w:t>Lei nº 14.133, de 2021, art. 117, caput</w:t>
        </w:r>
      </w:hyperlink>
      <w:r w:rsidRPr="000D79B8">
        <w:rPr>
          <w:rFonts w:ascii="Times New Roman" w:hAnsi="Times New Roman" w:cs="Times New Roman"/>
          <w:sz w:val="24"/>
          <w:szCs w:val="24"/>
        </w:rPr>
        <w:t>).</w:t>
      </w:r>
    </w:p>
    <w:p w14:paraId="12664252"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lastRenderedPageBreak/>
        <w:t>Fiscalização Técnica</w:t>
      </w:r>
    </w:p>
    <w:p w14:paraId="780B0653"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59FE8361"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4" w:anchor="art117§1" w:tooltip="http://www.planalto.gov.br/ccivil_03/_ato2019-2022/2021/lei/L14133.htm#art117§1" w:history="1">
        <w:r w:rsidRPr="000D79B8">
          <w:rPr>
            <w:rStyle w:val="Hyperlink"/>
            <w:rFonts w:ascii="Times New Roman" w:hAnsi="Times New Roman" w:cs="Times New Roman"/>
            <w:sz w:val="24"/>
            <w:szCs w:val="24"/>
          </w:rPr>
          <w:t>Lei nº 14.133, de 2021, art. 117, §1º</w:t>
        </w:r>
      </w:hyperlink>
      <w:r w:rsidRPr="000D79B8">
        <w:rPr>
          <w:rFonts w:ascii="Times New Roman" w:hAnsi="Times New Roman" w:cs="Times New Roman"/>
          <w:sz w:val="24"/>
          <w:szCs w:val="24"/>
        </w:rPr>
        <w:t xml:space="preserve">, e </w:t>
      </w:r>
      <w:hyperlink r:id="rId15" w:anchor="art22" w:tooltip="https://www.planalto.gov.br/ccivil_03/_ato2019-2022/2022/Decreto/D11246.htm#art22" w:history="1">
        <w:r w:rsidRPr="000D79B8">
          <w:rPr>
            <w:rStyle w:val="Hyperlink"/>
            <w:rFonts w:ascii="Times New Roman" w:hAnsi="Times New Roman" w:cs="Times New Roman"/>
            <w:sz w:val="24"/>
            <w:szCs w:val="24"/>
          </w:rPr>
          <w:t>Decreto nº 11.246, de 2022, art. 22, II);</w:t>
        </w:r>
      </w:hyperlink>
      <w:commentRangeEnd w:id="12"/>
      <w:r w:rsidRPr="000D79B8">
        <w:rPr>
          <w:rFonts w:ascii="Times New Roman" w:hAnsi="Times New Roman" w:cs="Times New Roman"/>
          <w:sz w:val="24"/>
          <w:szCs w:val="24"/>
        </w:rPr>
        <w:commentReference w:id="12"/>
      </w:r>
    </w:p>
    <w:p w14:paraId="538B088E"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16" w:anchor="art22" w:tooltip="https://www.planalto.gov.br/ccivil_03/_ato2019-2022/2022/Decreto/D11246.htm#art22" w:history="1">
        <w:r w:rsidRPr="000D79B8">
          <w:rPr>
            <w:rStyle w:val="Hyperlink"/>
            <w:rFonts w:ascii="Times New Roman" w:hAnsi="Times New Roman" w:cs="Times New Roman"/>
            <w:sz w:val="24"/>
            <w:szCs w:val="24"/>
          </w:rPr>
          <w:t>Decreto nº 11.246, de 2022, art. 22, III</w:t>
        </w:r>
      </w:hyperlink>
      <w:r w:rsidRPr="000D79B8">
        <w:rPr>
          <w:rFonts w:ascii="Times New Roman" w:hAnsi="Times New Roman" w:cs="Times New Roman"/>
          <w:sz w:val="24"/>
          <w:szCs w:val="24"/>
        </w:rPr>
        <w:t xml:space="preserve">); </w:t>
      </w:r>
    </w:p>
    <w:p w14:paraId="17D40C46"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17" w:anchor="art22" w:tooltip="https://www.planalto.gov.br/ccivil_03/_ato2019-2022/2022/Decreto/D11246.htm#art22" w:history="1">
        <w:r w:rsidRPr="000D79B8">
          <w:rPr>
            <w:rStyle w:val="Hyperlink"/>
            <w:rFonts w:ascii="Times New Roman" w:hAnsi="Times New Roman" w:cs="Times New Roman"/>
            <w:sz w:val="24"/>
            <w:szCs w:val="24"/>
          </w:rPr>
          <w:t>Decreto nº 11.246, de 2022, art. 22, IV</w:t>
        </w:r>
      </w:hyperlink>
      <w:r w:rsidRPr="000D79B8">
        <w:rPr>
          <w:rFonts w:ascii="Times New Roman" w:hAnsi="Times New Roman" w:cs="Times New Roman"/>
          <w:sz w:val="24"/>
          <w:szCs w:val="24"/>
        </w:rPr>
        <w:t>).</w:t>
      </w:r>
    </w:p>
    <w:p w14:paraId="3CE7A75B"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18" w:anchor="art22" w:tooltip="https://www.planalto.gov.br/ccivil_03/_ato2019-2022/2022/Decreto/D11246.htm#art22" w:history="1">
        <w:r w:rsidRPr="000D79B8">
          <w:rPr>
            <w:rStyle w:val="Hyperlink"/>
            <w:rFonts w:ascii="Times New Roman" w:hAnsi="Times New Roman" w:cs="Times New Roman"/>
            <w:sz w:val="24"/>
            <w:szCs w:val="24"/>
          </w:rPr>
          <w:t>Decreto nº 11.246, de 2022, art. 22, V</w:t>
        </w:r>
      </w:hyperlink>
      <w:r w:rsidRPr="000D79B8">
        <w:rPr>
          <w:rFonts w:ascii="Times New Roman" w:hAnsi="Times New Roman" w:cs="Times New Roman"/>
          <w:sz w:val="24"/>
          <w:szCs w:val="24"/>
        </w:rPr>
        <w:t>).</w:t>
      </w:r>
    </w:p>
    <w:p w14:paraId="1E0C244E"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O fiscal técnico do contrato comunicará ao gestor do contrato, em tempo hábil, o término do contrato sob sua responsabilidade, com vistas à renovação tempestiva ou à prorrogação contratual </w:t>
      </w:r>
      <w:hyperlink r:id="rId19" w:anchor="art22" w:tooltip="https://www.planalto.gov.br/ccivil_03/_ato2019-2022/2022/Decreto/D11246.htm#art22" w:history="1">
        <w:r w:rsidRPr="000D79B8">
          <w:rPr>
            <w:rStyle w:val="Hyperlink"/>
            <w:rFonts w:ascii="Times New Roman" w:hAnsi="Times New Roman" w:cs="Times New Roman"/>
            <w:sz w:val="24"/>
            <w:szCs w:val="24"/>
          </w:rPr>
          <w:t>(Decreto nº 11.246, de 2022, art. 22, VII</w:t>
        </w:r>
      </w:hyperlink>
      <w:r w:rsidRPr="000D79B8">
        <w:rPr>
          <w:rFonts w:ascii="Times New Roman" w:hAnsi="Times New Roman" w:cs="Times New Roman"/>
          <w:sz w:val="24"/>
          <w:szCs w:val="24"/>
        </w:rPr>
        <w:t>).</w:t>
      </w:r>
    </w:p>
    <w:p w14:paraId="52D97A6F" w14:textId="77777777" w:rsidR="00D14701" w:rsidRPr="000D79B8" w:rsidRDefault="00477D65">
      <w:pPr>
        <w:pStyle w:val="Nivel3"/>
        <w:numPr>
          <w:ilvl w:val="0"/>
          <w:numId w:val="0"/>
        </w:numPr>
        <w:rPr>
          <w:rFonts w:ascii="Times New Roman" w:hAnsi="Times New Roman" w:cs="Times New Roman"/>
          <w:sz w:val="24"/>
          <w:szCs w:val="24"/>
        </w:rPr>
      </w:pPr>
      <w:r w:rsidRPr="000D79B8">
        <w:rPr>
          <w:rFonts w:ascii="Times New Roman" w:hAnsi="Times New Roman" w:cs="Times New Roman"/>
          <w:sz w:val="24"/>
          <w:szCs w:val="24"/>
        </w:rPr>
        <w:t>Fiscalização Administrativa</w:t>
      </w:r>
    </w:p>
    <w:p w14:paraId="7C3AD3B4"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0" w:anchor="art23" w:tooltip="https://www.planalto.gov.br/ccivil_03/_ato2019-2022/2022/Decreto/D11246.htm#art23" w:history="1">
        <w:r w:rsidRPr="000D79B8">
          <w:rPr>
            <w:rStyle w:val="Hyperlink"/>
            <w:rFonts w:ascii="Times New Roman" w:hAnsi="Times New Roman" w:cs="Times New Roman"/>
            <w:sz w:val="24"/>
            <w:szCs w:val="24"/>
          </w:rPr>
          <w:t>Art. 23, I e II, do Decreto nº 11.246, de 2022</w:t>
        </w:r>
      </w:hyperlink>
      <w:r w:rsidRPr="000D79B8">
        <w:rPr>
          <w:rFonts w:ascii="Times New Roman" w:hAnsi="Times New Roman" w:cs="Times New Roman"/>
          <w:sz w:val="24"/>
          <w:szCs w:val="24"/>
        </w:rPr>
        <w:t>).</w:t>
      </w:r>
    </w:p>
    <w:p w14:paraId="77D8A95B"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1" w:anchor="art23" w:tooltip="https://www.planalto.gov.br/ccivil_03/_ato2019-2022/2022/Decreto/D11246.htm#art23" w:history="1">
        <w:r w:rsidRPr="000D79B8">
          <w:rPr>
            <w:rStyle w:val="Hyperlink"/>
            <w:rFonts w:ascii="Times New Roman" w:hAnsi="Times New Roman" w:cs="Times New Roman"/>
            <w:sz w:val="24"/>
            <w:szCs w:val="24"/>
          </w:rPr>
          <w:t>Decreto nº 11.246, de 2022, art. 23, IV</w:t>
        </w:r>
      </w:hyperlink>
      <w:r w:rsidRPr="000D79B8">
        <w:rPr>
          <w:rFonts w:ascii="Times New Roman" w:hAnsi="Times New Roman" w:cs="Times New Roman"/>
          <w:sz w:val="24"/>
          <w:szCs w:val="24"/>
        </w:rPr>
        <w:t>).</w:t>
      </w:r>
    </w:p>
    <w:p w14:paraId="4DE609C2"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Gestor do Contrato</w:t>
      </w:r>
    </w:p>
    <w:p w14:paraId="0D114181"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A0AA629"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35956ADB"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03125FB"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88AE088"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2D48CC9"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F29CA84"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14B1F71" w14:textId="77777777" w:rsidR="00D14701" w:rsidRPr="000D79B8" w:rsidRDefault="00477D65">
      <w:pPr>
        <w:pStyle w:val="Nivel01"/>
        <w:rPr>
          <w:rFonts w:ascii="Times New Roman" w:hAnsi="Times New Roman" w:cs="Times New Roman"/>
          <w:sz w:val="24"/>
          <w:szCs w:val="24"/>
        </w:rPr>
      </w:pPr>
      <w:r w:rsidRPr="000D79B8">
        <w:rPr>
          <w:rFonts w:ascii="Times New Roman" w:hAnsi="Times New Roman" w:cs="Times New Roman"/>
          <w:sz w:val="24"/>
          <w:szCs w:val="24"/>
        </w:rPr>
        <w:t>CRITÉRIOS DE MEDIÇÃO E DE PAGAMENTO</w:t>
      </w:r>
    </w:p>
    <w:p w14:paraId="2A0204B3"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Recebimento</w:t>
      </w:r>
    </w:p>
    <w:p w14:paraId="2A7B07EB" w14:textId="77777777" w:rsidR="00D14701" w:rsidRPr="000D79B8" w:rsidRDefault="00477D65">
      <w:pPr>
        <w:pStyle w:val="Nivel2"/>
        <w:rPr>
          <w:rFonts w:ascii="Times New Roman" w:hAnsi="Times New Roman" w:cs="Times New Roman"/>
          <w:sz w:val="24"/>
          <w:szCs w:val="24"/>
          <w:lang w:eastAsia="en-US"/>
        </w:rPr>
      </w:pPr>
      <w:commentRangeStart w:id="13"/>
      <w:r w:rsidRPr="000D79B8">
        <w:rPr>
          <w:rFonts w:ascii="Times New Roman" w:hAnsi="Times New Roman" w:cs="Times New Roman"/>
          <w:sz w:val="24"/>
          <w:szCs w:val="24"/>
          <w:lang w:eastAsia="en-US"/>
        </w:rPr>
        <w:t>Os bens serão recebidos provisoriamente, de forma sumária</w:t>
      </w:r>
      <w:commentRangeEnd w:id="13"/>
      <w:r w:rsidRPr="000D79B8">
        <w:rPr>
          <w:rFonts w:ascii="Times New Roman" w:hAnsi="Times New Roman" w:cs="Times New Roman"/>
          <w:sz w:val="24"/>
          <w:szCs w:val="24"/>
        </w:rPr>
        <w:commentReference w:id="13"/>
      </w:r>
      <w:r w:rsidRPr="000D79B8">
        <w:rPr>
          <w:rFonts w:ascii="Times New Roman" w:hAnsi="Times New Roman" w:cs="Times New Roman"/>
          <w:sz w:val="24"/>
          <w:szCs w:val="24"/>
          <w:lang w:eastAsia="en-US"/>
        </w:rPr>
        <w:t xml:space="preserve">, no ato da entrega, juntamente com a </w:t>
      </w:r>
      <w:r w:rsidRPr="000D79B8">
        <w:rPr>
          <w:rFonts w:ascii="Times New Roman" w:eastAsia="Calibri" w:hAnsi="Times New Roman" w:cs="Times New Roman"/>
          <w:sz w:val="24"/>
          <w:szCs w:val="24"/>
          <w:lang w:eastAsia="en-US"/>
        </w:rPr>
        <w:t>nota</w:t>
      </w:r>
      <w:r w:rsidRPr="000D79B8">
        <w:rPr>
          <w:rFonts w:ascii="Times New Roman" w:hAnsi="Times New Roman" w:cs="Times New Roman"/>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0D79B8">
        <w:rPr>
          <w:rFonts w:ascii="Times New Roman" w:hAnsi="Times New Roman" w:cs="Times New Roman"/>
          <w:color w:val="FF0000"/>
          <w:sz w:val="24"/>
          <w:szCs w:val="24"/>
          <w:lang w:eastAsia="en-US"/>
        </w:rPr>
        <w:t xml:space="preserve"> </w:t>
      </w:r>
      <w:r w:rsidRPr="000D79B8">
        <w:rPr>
          <w:rFonts w:ascii="Times New Roman" w:hAnsi="Times New Roman" w:cs="Times New Roman"/>
          <w:sz w:val="24"/>
          <w:szCs w:val="24"/>
          <w:lang w:eastAsia="en-US"/>
        </w:rPr>
        <w:t>e na proposta.</w:t>
      </w:r>
    </w:p>
    <w:p w14:paraId="01CF8398"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Os bens poderão ser rejeitados, no todo ou em parte, inclusive antes do recebimento provisório, quando em desacordo com as especificações constantes no Termo de Referência</w:t>
      </w:r>
      <w:r w:rsidRPr="000D79B8">
        <w:rPr>
          <w:rFonts w:ascii="Times New Roman" w:hAnsi="Times New Roman" w:cs="Times New Roman"/>
          <w:color w:val="FF0000"/>
          <w:sz w:val="24"/>
          <w:szCs w:val="24"/>
          <w:lang w:eastAsia="en-US"/>
        </w:rPr>
        <w:t xml:space="preserve"> </w:t>
      </w:r>
      <w:r w:rsidRPr="000D79B8">
        <w:rPr>
          <w:rFonts w:ascii="Times New Roman" w:hAnsi="Times New Roman" w:cs="Times New Roman"/>
          <w:sz w:val="24"/>
          <w:szCs w:val="24"/>
          <w:lang w:eastAsia="en-US"/>
        </w:rPr>
        <w:t xml:space="preserve">e na proposta, devendo ser substituídos no prazo de </w:t>
      </w:r>
      <w:r w:rsidRPr="000D79B8">
        <w:rPr>
          <w:rFonts w:ascii="Times New Roman" w:hAnsi="Times New Roman" w:cs="Times New Roman"/>
          <w:color w:val="000000" w:themeColor="text1"/>
          <w:sz w:val="24"/>
          <w:szCs w:val="24"/>
          <w:lang w:eastAsia="en-US"/>
        </w:rPr>
        <w:t>10</w:t>
      </w:r>
      <w:r w:rsidRPr="000D79B8">
        <w:rPr>
          <w:rFonts w:ascii="Times New Roman" w:hAnsi="Times New Roman" w:cs="Times New Roman"/>
          <w:color w:val="FF0000"/>
          <w:sz w:val="24"/>
          <w:szCs w:val="24"/>
          <w:lang w:eastAsia="en-US"/>
        </w:rPr>
        <w:t xml:space="preserve"> </w:t>
      </w:r>
      <w:r w:rsidRPr="000D79B8">
        <w:rPr>
          <w:rFonts w:ascii="Times New Roman" w:hAnsi="Times New Roman" w:cs="Times New Roman"/>
          <w:sz w:val="24"/>
          <w:szCs w:val="24"/>
          <w:lang w:eastAsia="en-US"/>
        </w:rPr>
        <w:t>dias, a contar da notificação da contratada, às suas custas, sem prejuízo da aplicação das penalidades.</w:t>
      </w:r>
    </w:p>
    <w:p w14:paraId="10F7FC6B" w14:textId="77777777" w:rsidR="00D14701" w:rsidRPr="000D79B8" w:rsidRDefault="00477D65">
      <w:pPr>
        <w:pStyle w:val="Nivel2"/>
        <w:rPr>
          <w:rFonts w:ascii="Times New Roman" w:hAnsi="Times New Roman" w:cs="Times New Roman"/>
          <w:sz w:val="24"/>
          <w:szCs w:val="24"/>
          <w:lang w:eastAsia="en-US"/>
        </w:rPr>
      </w:pPr>
      <w:commentRangeStart w:id="14"/>
      <w:r w:rsidRPr="000D79B8">
        <w:rPr>
          <w:rFonts w:ascii="Times New Roman" w:hAnsi="Times New Roman" w:cs="Times New Roman"/>
          <w:sz w:val="24"/>
          <w:szCs w:val="24"/>
          <w:lang w:eastAsia="en-US"/>
        </w:rPr>
        <w:t xml:space="preserve">O recebimento definitivo ocorrerá no prazo de </w:t>
      </w:r>
      <w:r w:rsidRPr="000D79B8">
        <w:rPr>
          <w:rFonts w:ascii="Times New Roman" w:hAnsi="Times New Roman" w:cs="Times New Roman"/>
          <w:color w:val="000000" w:themeColor="text1"/>
          <w:sz w:val="24"/>
          <w:szCs w:val="24"/>
          <w:lang w:eastAsia="en-US"/>
        </w:rPr>
        <w:t>5 dias úteis,</w:t>
      </w:r>
      <w:r w:rsidRPr="000D79B8">
        <w:rPr>
          <w:rFonts w:ascii="Times New Roman" w:hAnsi="Times New Roman" w:cs="Times New Roman"/>
          <w:color w:val="FF0000"/>
          <w:sz w:val="24"/>
          <w:szCs w:val="24"/>
          <w:lang w:eastAsia="en-US"/>
        </w:rPr>
        <w:t xml:space="preserve"> </w:t>
      </w:r>
      <w:r w:rsidRPr="000D79B8">
        <w:rPr>
          <w:rFonts w:ascii="Times New Roman" w:hAnsi="Times New Roman" w:cs="Times New Roman"/>
          <w:sz w:val="24"/>
          <w:szCs w:val="24"/>
          <w:lang w:eastAsia="en-US"/>
        </w:rPr>
        <w:t>a contar do recebimento da nota fiscal ou instrumento de cobrança equivalente pela Administração, após a verificação da qualidade e quantidade do material e consequente aceitação mediante termo detalhado.</w:t>
      </w:r>
      <w:commentRangeEnd w:id="14"/>
      <w:r w:rsidRPr="000D79B8">
        <w:rPr>
          <w:rFonts w:ascii="Times New Roman" w:hAnsi="Times New Roman" w:cs="Times New Roman"/>
          <w:sz w:val="24"/>
          <w:szCs w:val="24"/>
        </w:rPr>
        <w:commentReference w:id="14"/>
      </w:r>
    </w:p>
    <w:p w14:paraId="255B79B0" w14:textId="77777777" w:rsidR="00D14701" w:rsidRPr="000D79B8" w:rsidRDefault="00477D65">
      <w:pPr>
        <w:pStyle w:val="Nivel2"/>
        <w:rPr>
          <w:rFonts w:ascii="Times New Roman" w:hAnsi="Times New Roman" w:cs="Times New Roman"/>
          <w:sz w:val="24"/>
          <w:szCs w:val="24"/>
          <w:lang w:eastAsia="en-US"/>
        </w:rPr>
      </w:pPr>
      <w:commentRangeStart w:id="15"/>
      <w:r w:rsidRPr="000D79B8">
        <w:rPr>
          <w:rFonts w:ascii="Times New Roman" w:hAnsi="Times New Roman" w:cs="Times New Roman"/>
          <w:sz w:val="24"/>
          <w:szCs w:val="24"/>
          <w:lang w:eastAsia="en-US"/>
        </w:rPr>
        <w:lastRenderedPageBreak/>
        <w:t xml:space="preserve">Para as contratações decorrentes de despesas cujos valores não ultrapassem o limite de que trata o </w:t>
      </w:r>
      <w:hyperlink r:id="rId22" w:anchor="art75" w:tooltip="http://www.planalto.gov.br/ccivil_03/_ato2019-2022/2021/lei/L14133.htm#art75" w:history="1">
        <w:r w:rsidRPr="000D79B8">
          <w:rPr>
            <w:rStyle w:val="Hyperlink"/>
            <w:rFonts w:ascii="Times New Roman" w:hAnsi="Times New Roman" w:cs="Times New Roman"/>
            <w:sz w:val="24"/>
            <w:szCs w:val="24"/>
            <w:lang w:eastAsia="en-US"/>
          </w:rPr>
          <w:t>inciso II do art. 75 da Lei nº 14.133, de 2021</w:t>
        </w:r>
      </w:hyperlink>
      <w:r w:rsidRPr="000D79B8">
        <w:rPr>
          <w:rFonts w:ascii="Times New Roman" w:hAnsi="Times New Roman" w:cs="Times New Roman"/>
          <w:sz w:val="24"/>
          <w:szCs w:val="24"/>
          <w:lang w:eastAsia="en-US"/>
        </w:rPr>
        <w:t xml:space="preserve">, o prazo máximo para o recebimento definitivo será de até </w:t>
      </w:r>
      <w:r w:rsidRPr="000D79B8">
        <w:rPr>
          <w:rFonts w:ascii="Times New Roman" w:hAnsi="Times New Roman" w:cs="Times New Roman"/>
          <w:color w:val="000000" w:themeColor="text1"/>
          <w:sz w:val="24"/>
          <w:szCs w:val="24"/>
          <w:lang w:eastAsia="en-US"/>
        </w:rPr>
        <w:t xml:space="preserve">5 </w:t>
      </w:r>
      <w:r w:rsidRPr="000D79B8">
        <w:rPr>
          <w:rFonts w:ascii="Times New Roman" w:hAnsi="Times New Roman" w:cs="Times New Roman"/>
          <w:sz w:val="24"/>
          <w:szCs w:val="24"/>
          <w:lang w:eastAsia="en-US"/>
        </w:rPr>
        <w:t>dias úteis.</w:t>
      </w:r>
      <w:commentRangeEnd w:id="15"/>
      <w:r w:rsidRPr="000D79B8">
        <w:rPr>
          <w:rFonts w:ascii="Times New Roman" w:hAnsi="Times New Roman" w:cs="Times New Roman"/>
          <w:sz w:val="24"/>
          <w:szCs w:val="24"/>
        </w:rPr>
        <w:commentReference w:id="15"/>
      </w:r>
    </w:p>
    <w:p w14:paraId="6D3B6EA8"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O prazo para recebimento definitivo poderá ser excepcionalmente prorrogado, </w:t>
      </w:r>
      <w:r w:rsidRPr="000D79B8">
        <w:rPr>
          <w:rFonts w:ascii="Times New Roman" w:hAnsi="Times New Roman" w:cs="Times New Roman"/>
          <w:color w:val="auto"/>
          <w:sz w:val="24"/>
          <w:szCs w:val="24"/>
          <w:lang w:eastAsia="en-US"/>
        </w:rPr>
        <w:t>de forma justificada, por igual período, quando houver necessidade de diligências para a aferição do ate</w:t>
      </w:r>
      <w:r w:rsidRPr="000D79B8">
        <w:rPr>
          <w:rFonts w:ascii="Times New Roman" w:hAnsi="Times New Roman" w:cs="Times New Roman"/>
          <w:sz w:val="24"/>
          <w:szCs w:val="24"/>
          <w:lang w:eastAsia="en-US"/>
        </w:rPr>
        <w:t>ndimento das exigências contratuais.</w:t>
      </w:r>
    </w:p>
    <w:p w14:paraId="1C11039E"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No caso de controvérsia sobre a execução do objeto, quanto à dimensão, qualidade e quantidade, deverá ser observado o teor do </w:t>
      </w:r>
      <w:hyperlink r:id="rId23" w:anchor="art143" w:tooltip="http://www.planalto.gov.br/ccivil_03/_ato2019-2022/2021/lei/L14133.htm#art143" w:history="1">
        <w:r w:rsidRPr="000D79B8">
          <w:rPr>
            <w:rStyle w:val="Hyperlink"/>
            <w:rFonts w:ascii="Times New Roman" w:hAnsi="Times New Roman" w:cs="Times New Roman"/>
            <w:sz w:val="24"/>
            <w:szCs w:val="24"/>
            <w:lang w:eastAsia="en-US"/>
          </w:rPr>
          <w:t>art. 143 da Lei nº 14.133, de 2021</w:t>
        </w:r>
      </w:hyperlink>
      <w:r w:rsidRPr="000D79B8">
        <w:rPr>
          <w:rFonts w:ascii="Times New Roman" w:hAnsi="Times New Roman" w:cs="Times New Roman"/>
          <w:sz w:val="24"/>
          <w:szCs w:val="24"/>
          <w:lang w:eastAsia="en-US"/>
        </w:rPr>
        <w:t xml:space="preserve">, comunicando-se à empresa para emissão de Nota Fiscal no que </w:t>
      </w:r>
      <w:proofErr w:type="spellStart"/>
      <w:r w:rsidRPr="000D79B8">
        <w:rPr>
          <w:rFonts w:ascii="Times New Roman" w:hAnsi="Times New Roman" w:cs="Times New Roman"/>
          <w:sz w:val="24"/>
          <w:szCs w:val="24"/>
          <w:lang w:eastAsia="en-US"/>
        </w:rPr>
        <w:t>pertine</w:t>
      </w:r>
      <w:proofErr w:type="spellEnd"/>
      <w:r w:rsidRPr="000D79B8">
        <w:rPr>
          <w:rFonts w:ascii="Times New Roman" w:hAnsi="Times New Roman" w:cs="Times New Roman"/>
          <w:sz w:val="24"/>
          <w:szCs w:val="24"/>
          <w:lang w:eastAsia="en-US"/>
        </w:rPr>
        <w:t xml:space="preserve"> à parcela incontroversa da execução do objeto, para efeito de liquidação e pagamento.</w:t>
      </w:r>
    </w:p>
    <w:p w14:paraId="53C47D1E"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400D4FF"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O recebimento provisório ou definitivo não excluirá a responsabilidade civil pela solidez e pela segurança dos bens nem a responsabilidade ético-profissional pela perfeita execução do contrato.</w:t>
      </w:r>
    </w:p>
    <w:p w14:paraId="1EF80019"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Liquidação</w:t>
      </w:r>
    </w:p>
    <w:p w14:paraId="2B28812C"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Recebida a Nota Fiscal ou documento de cobrança equivalente, correrá o prazo de dez dias úteis para fins de liquidação, na forma desta seção, prorrogáveis por igual período, nos termos do art. 7º, §3</w:t>
      </w:r>
      <w:r w:rsidRPr="000D79B8">
        <w:rPr>
          <w:rStyle w:val="Hyperlink"/>
          <w:rFonts w:ascii="Times New Roman" w:hAnsi="Times New Roman" w:cs="Times New Roman"/>
          <w:sz w:val="24"/>
          <w:szCs w:val="24"/>
          <w:lang w:eastAsia="en-US"/>
        </w:rPr>
        <w:t>º da Instrução Normativa SEGES/ME nº 77/2022</w:t>
      </w:r>
      <w:r w:rsidRPr="000D79B8">
        <w:rPr>
          <w:rFonts w:ascii="Times New Roman" w:hAnsi="Times New Roman" w:cs="Times New Roman"/>
          <w:sz w:val="24"/>
          <w:szCs w:val="24"/>
          <w:lang w:eastAsia="en-US"/>
        </w:rPr>
        <w:t>.</w:t>
      </w:r>
    </w:p>
    <w:p w14:paraId="4BF03067"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4" w:anchor="art75" w:tooltip="http://www.planalto.gov.br/ccivil_03/_ato2019-2022/2021/lei/L14133.htm#art75" w:history="1">
        <w:r w:rsidRPr="000D79B8">
          <w:rPr>
            <w:rStyle w:val="Hyperlink"/>
            <w:rFonts w:ascii="Times New Roman" w:hAnsi="Times New Roman" w:cs="Times New Roman"/>
            <w:sz w:val="24"/>
            <w:szCs w:val="24"/>
          </w:rPr>
          <w:t>inciso II do art. 75 da Lei nº 14.133, de 2021</w:t>
        </w:r>
      </w:hyperlink>
      <w:r w:rsidRPr="000D79B8">
        <w:rPr>
          <w:rFonts w:ascii="Times New Roman" w:hAnsi="Times New Roman" w:cs="Times New Roman"/>
          <w:sz w:val="24"/>
          <w:szCs w:val="24"/>
        </w:rPr>
        <w:t>.</w:t>
      </w:r>
    </w:p>
    <w:p w14:paraId="587DBAD4"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A7547EE" w14:textId="77777777" w:rsidR="00D14701" w:rsidRPr="000D79B8" w:rsidRDefault="00477D65">
      <w:pPr>
        <w:pStyle w:val="Nivel3"/>
        <w:rPr>
          <w:rFonts w:ascii="Times New Roman" w:hAnsi="Times New Roman" w:cs="Times New Roman"/>
          <w:sz w:val="24"/>
          <w:szCs w:val="24"/>
          <w:lang w:eastAsia="en-US"/>
        </w:rPr>
      </w:pPr>
      <w:r w:rsidRPr="000D79B8">
        <w:rPr>
          <w:rFonts w:ascii="Times New Roman" w:hAnsi="Times New Roman" w:cs="Times New Roman"/>
          <w:sz w:val="24"/>
          <w:szCs w:val="24"/>
          <w:lang w:eastAsia="en-US"/>
        </w:rPr>
        <w:t>o prazo de validade;</w:t>
      </w:r>
    </w:p>
    <w:p w14:paraId="30556B66" w14:textId="77777777" w:rsidR="00D14701" w:rsidRPr="000D79B8" w:rsidRDefault="00477D65">
      <w:pPr>
        <w:pStyle w:val="Nivel3"/>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a data da emissão; </w:t>
      </w:r>
    </w:p>
    <w:p w14:paraId="5805FE25" w14:textId="77777777" w:rsidR="00D14701" w:rsidRPr="000D79B8" w:rsidRDefault="00477D65">
      <w:pPr>
        <w:pStyle w:val="Nivel3"/>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os dados do contrato e do órgão contratante; </w:t>
      </w:r>
    </w:p>
    <w:p w14:paraId="78F3C654" w14:textId="77777777" w:rsidR="00D14701" w:rsidRPr="000D79B8" w:rsidRDefault="00477D65">
      <w:pPr>
        <w:pStyle w:val="Nivel3"/>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o período respectivo de execução do contrato; </w:t>
      </w:r>
    </w:p>
    <w:p w14:paraId="3B0C6C24" w14:textId="77777777" w:rsidR="00D14701" w:rsidRPr="000D79B8" w:rsidRDefault="00477D65">
      <w:pPr>
        <w:pStyle w:val="Nivel3"/>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o valor a pagar; e </w:t>
      </w:r>
    </w:p>
    <w:p w14:paraId="669D8302" w14:textId="77777777" w:rsidR="00D14701" w:rsidRPr="000D79B8" w:rsidRDefault="00477D65">
      <w:pPr>
        <w:pStyle w:val="Nivel3"/>
        <w:rPr>
          <w:rFonts w:ascii="Times New Roman" w:hAnsi="Times New Roman" w:cs="Times New Roman"/>
          <w:sz w:val="24"/>
          <w:szCs w:val="24"/>
          <w:lang w:eastAsia="en-US"/>
        </w:rPr>
      </w:pPr>
      <w:r w:rsidRPr="000D79B8">
        <w:rPr>
          <w:rFonts w:ascii="Times New Roman" w:hAnsi="Times New Roman" w:cs="Times New Roman"/>
          <w:sz w:val="24"/>
          <w:szCs w:val="24"/>
          <w:lang w:eastAsia="en-US"/>
        </w:rPr>
        <w:t>eventual destaque do valor de retenções tributárias cabíveis.</w:t>
      </w:r>
    </w:p>
    <w:p w14:paraId="43B7CD13"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eastAsia="Calibri" w:hAnsi="Times New Roman" w:cs="Times New Roman"/>
          <w:sz w:val="24"/>
          <w:szCs w:val="24"/>
          <w:lang w:eastAsia="en-US"/>
        </w:rPr>
        <w:t xml:space="preserve"> Havendo erro na apresentação da nota fiscal ou instrumento de cobrança equivalente, ou circunstância que impeça a </w:t>
      </w:r>
      <w:r w:rsidRPr="000D79B8">
        <w:rPr>
          <w:rFonts w:ascii="Times New Roman" w:hAnsi="Times New Roman" w:cs="Times New Roman"/>
          <w:sz w:val="24"/>
          <w:szCs w:val="24"/>
          <w:lang w:eastAsia="en-US"/>
        </w:rPr>
        <w:t xml:space="preserve">liquidação da despesa, esta ficará sobrestada até que o contratado </w:t>
      </w:r>
      <w:r w:rsidRPr="000D79B8">
        <w:rPr>
          <w:rFonts w:ascii="Times New Roman" w:hAnsi="Times New Roman" w:cs="Times New Roman"/>
          <w:sz w:val="24"/>
          <w:szCs w:val="24"/>
          <w:lang w:eastAsia="en-US"/>
        </w:rPr>
        <w:lastRenderedPageBreak/>
        <w:t>providencie as medidas saneadoras, reiniciando-se o prazo após a comprovação da regularização da situação, sem ônus ao contratante;</w:t>
      </w:r>
    </w:p>
    <w:p w14:paraId="7D433A93"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5" w:anchor="art68" w:tooltip="http://www.planalto.gov.br/ccivil_03/_ato2019-2022/2021/lei/L14133.htm#art68" w:history="1">
        <w:r w:rsidRPr="000D79B8">
          <w:rPr>
            <w:rStyle w:val="Hyperlink"/>
            <w:rFonts w:ascii="Times New Roman" w:hAnsi="Times New Roman" w:cs="Times New Roman"/>
            <w:sz w:val="24"/>
            <w:szCs w:val="24"/>
            <w:lang w:eastAsia="en-US"/>
          </w:rPr>
          <w:t xml:space="preserve">art. 68 da Lei nº 14.133, de 2021.  </w:t>
        </w:r>
      </w:hyperlink>
      <w:r w:rsidRPr="000D79B8">
        <w:rPr>
          <w:rFonts w:ascii="Times New Roman" w:hAnsi="Times New Roman" w:cs="Times New Roman"/>
          <w:sz w:val="24"/>
          <w:szCs w:val="24"/>
          <w:lang w:eastAsia="en-US"/>
        </w:rPr>
        <w:t xml:space="preserve"> </w:t>
      </w:r>
    </w:p>
    <w:p w14:paraId="172B1017"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A151167"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5498E75"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1EB09E1"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20E6BB61"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4EAF4C62"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Prazo de pagamento</w:t>
      </w:r>
    </w:p>
    <w:p w14:paraId="361224C4"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pagamento será efetuado no prazo de até 10 (dez) dias úteis contados da finalização da liquidação da despesa, conforme seção anterior, nos termos da </w:t>
      </w:r>
      <w:hyperlink r:id="rId26" w:tooltip="https://in.gov.br/en/web/dou/-/instrucao-normativa-seges/me-n-77-de-4-de-novembro-de-2022-441681061" w:history="1">
        <w:r w:rsidRPr="000D79B8">
          <w:rPr>
            <w:rStyle w:val="Hyperlink"/>
            <w:rFonts w:ascii="Times New Roman" w:hAnsi="Times New Roman" w:cs="Times New Roman"/>
            <w:sz w:val="24"/>
            <w:szCs w:val="24"/>
          </w:rPr>
          <w:t>Instrução Normativa SEGES/ME nº 77, de 2022</w:t>
        </w:r>
      </w:hyperlink>
      <w:r w:rsidRPr="000D79B8">
        <w:rPr>
          <w:rFonts w:ascii="Times New Roman" w:hAnsi="Times New Roman" w:cs="Times New Roman"/>
          <w:sz w:val="24"/>
          <w:szCs w:val="24"/>
        </w:rPr>
        <w:t>.</w:t>
      </w:r>
    </w:p>
    <w:p w14:paraId="711952E2" w14:textId="77777777" w:rsidR="00D14701" w:rsidRPr="000D79B8" w:rsidRDefault="00477D65">
      <w:pPr>
        <w:pStyle w:val="Nivel2"/>
        <w:rPr>
          <w:rFonts w:ascii="Times New Roman" w:hAnsi="Times New Roman" w:cs="Times New Roman"/>
          <w:sz w:val="24"/>
          <w:szCs w:val="24"/>
          <w:lang w:eastAsia="en-US"/>
        </w:rPr>
      </w:pPr>
      <w:commentRangeStart w:id="16"/>
      <w:r w:rsidRPr="000D79B8">
        <w:rPr>
          <w:rFonts w:ascii="Times New Roman" w:hAnsi="Times New Roman" w:cs="Times New Roman"/>
          <w:sz w:val="24"/>
          <w:szCs w:val="24"/>
          <w:lang w:eastAsia="en-US"/>
        </w:rPr>
        <w:t>No caso de atraso pelo Contratante, os valores devidos ao contratado serão atualizados monetariamente entre o termo final do prazo de pagamento até a data de sua efetiva realização, mediante aplicação do índice IPCA de correção monetária.</w:t>
      </w:r>
      <w:commentRangeEnd w:id="16"/>
      <w:r w:rsidRPr="000D79B8">
        <w:rPr>
          <w:rFonts w:ascii="Times New Roman" w:hAnsi="Times New Roman" w:cs="Times New Roman"/>
          <w:sz w:val="24"/>
          <w:szCs w:val="24"/>
        </w:rPr>
        <w:commentReference w:id="16"/>
      </w:r>
    </w:p>
    <w:p w14:paraId="1C3C6CFC"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Forma de pagamento</w:t>
      </w:r>
    </w:p>
    <w:p w14:paraId="552DC4B4"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O pagamento será realizado por meio de ordem bancária, para crédito em banco, agência e conta corrente indicados pelo contratado.</w:t>
      </w:r>
    </w:p>
    <w:p w14:paraId="57E02054"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Será considerada data do pagamento o dia em que constar como emitida a ordem bancária para pagamento.</w:t>
      </w:r>
    </w:p>
    <w:p w14:paraId="4C4528C8"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lastRenderedPageBreak/>
        <w:t>Quando do pagamento, será efetuada a retenção tributária prevista na legislação aplicável.</w:t>
      </w:r>
    </w:p>
    <w:p w14:paraId="143A5A93" w14:textId="77777777" w:rsidR="00D14701" w:rsidRPr="000D79B8" w:rsidRDefault="00477D65">
      <w:pPr>
        <w:pStyle w:val="Nivel3"/>
        <w:rPr>
          <w:rFonts w:ascii="Times New Roman" w:hAnsi="Times New Roman" w:cs="Times New Roman"/>
          <w:sz w:val="24"/>
          <w:szCs w:val="24"/>
          <w:lang w:eastAsia="en-US"/>
        </w:rPr>
      </w:pPr>
      <w:commentRangeStart w:id="17"/>
      <w:r w:rsidRPr="000D79B8">
        <w:rPr>
          <w:rFonts w:ascii="Times New Roman" w:hAnsi="Times New Roman" w:cs="Times New Roman"/>
          <w:sz w:val="24"/>
          <w:szCs w:val="24"/>
          <w:lang w:eastAsia="en-US"/>
        </w:rPr>
        <w:t>Independentemente do percentual de tributo inserido na planilha, quando houver, serão retidos na fonte, quando da realização do pagamento, os percentuais estabelecidos na legislação vigente.</w:t>
      </w:r>
      <w:commentRangeEnd w:id="17"/>
      <w:r w:rsidRPr="000D79B8">
        <w:rPr>
          <w:rFonts w:ascii="Times New Roman" w:hAnsi="Times New Roman" w:cs="Times New Roman"/>
          <w:sz w:val="24"/>
          <w:szCs w:val="24"/>
        </w:rPr>
        <w:commentReference w:id="17"/>
      </w:r>
    </w:p>
    <w:p w14:paraId="3A7CC77B"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O contratado regularmente optante pelo Simples Nacional, nos termos da </w:t>
      </w:r>
      <w:hyperlink r:id="rId27" w:tooltip="https://www.planalto.gov.br/ccivil_03/leis/lcp/lcp123.htm" w:history="1">
        <w:r w:rsidRPr="000D79B8">
          <w:rPr>
            <w:rStyle w:val="Hyperlink"/>
            <w:rFonts w:ascii="Times New Roman" w:hAnsi="Times New Roman" w:cs="Times New Roman"/>
            <w:sz w:val="24"/>
            <w:szCs w:val="24"/>
            <w:lang w:eastAsia="en-US"/>
          </w:rPr>
          <w:t>Lei Complementar nº 123, de 2006</w:t>
        </w:r>
      </w:hyperlink>
      <w:r w:rsidRPr="000D79B8">
        <w:rPr>
          <w:rFonts w:ascii="Times New Roman" w:hAnsi="Times New Roman" w:cs="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FFD8848" w14:textId="77777777" w:rsidR="00D14701" w:rsidRPr="000D79B8" w:rsidRDefault="00477D65">
      <w:pPr>
        <w:pStyle w:val="Nvel1-SemNumPreto"/>
        <w:rPr>
          <w:rFonts w:ascii="Times New Roman" w:hAnsi="Times New Roman" w:cs="Times New Roman"/>
          <w:sz w:val="24"/>
          <w:szCs w:val="24"/>
        </w:rPr>
      </w:pPr>
      <w:commentRangeStart w:id="18"/>
      <w:r w:rsidRPr="000D79B8">
        <w:rPr>
          <w:rFonts w:ascii="Times New Roman" w:hAnsi="Times New Roman" w:cs="Times New Roman"/>
          <w:sz w:val="24"/>
          <w:szCs w:val="24"/>
        </w:rPr>
        <w:t>Cessão de crédito</w:t>
      </w:r>
      <w:commentRangeEnd w:id="18"/>
      <w:r w:rsidRPr="000D79B8">
        <w:rPr>
          <w:rFonts w:ascii="Times New Roman" w:hAnsi="Times New Roman" w:cs="Times New Roman"/>
          <w:sz w:val="24"/>
          <w:szCs w:val="24"/>
        </w:rPr>
        <w:commentReference w:id="18"/>
      </w:r>
    </w:p>
    <w:p w14:paraId="7B8F437B"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É admitida a cessão fiduciária de direitos creditícios com instituição financeira, nos termos e de acordo com os procedimentos previstos na </w:t>
      </w:r>
      <w:hyperlink r:id="rId28" w:tooltip="https://www.gov.br/compras/pt-br/acesso-a-informacao/legislacao/instrucoes-normativas/instrucao-normativa-no-53-de-8-de-julho-de-2020" w:history="1">
        <w:r w:rsidRPr="000D79B8">
          <w:rPr>
            <w:rStyle w:val="Hyperlink"/>
            <w:rFonts w:ascii="Times New Roman" w:hAnsi="Times New Roman" w:cs="Times New Roman"/>
            <w:sz w:val="24"/>
            <w:szCs w:val="24"/>
            <w:lang w:eastAsia="en-US"/>
          </w:rPr>
          <w:t>Instrução Normativa SEGES/ME nº 53, de 8 de Julho de 2020</w:t>
        </w:r>
      </w:hyperlink>
      <w:r w:rsidRPr="000D79B8">
        <w:rPr>
          <w:rFonts w:ascii="Times New Roman" w:hAnsi="Times New Roman" w:cs="Times New Roman"/>
          <w:sz w:val="24"/>
          <w:szCs w:val="24"/>
          <w:lang w:eastAsia="en-US"/>
        </w:rPr>
        <w:t>, conforme as regras deste presente tópico.</w:t>
      </w:r>
    </w:p>
    <w:p w14:paraId="421CCECD" w14:textId="77777777" w:rsidR="00D14701" w:rsidRPr="000D79B8" w:rsidRDefault="00477D65">
      <w:pPr>
        <w:pStyle w:val="Nivel2"/>
        <w:rPr>
          <w:rFonts w:ascii="Times New Roman" w:hAnsi="Times New Roman" w:cs="Times New Roman"/>
          <w:sz w:val="24"/>
          <w:szCs w:val="24"/>
          <w:lang w:eastAsia="en-US"/>
        </w:rPr>
      </w:pPr>
      <w:commentRangeStart w:id="19"/>
      <w:r w:rsidRPr="000D79B8">
        <w:rPr>
          <w:rFonts w:ascii="Times New Roman" w:hAnsi="Times New Roman" w:cs="Times New Roman"/>
          <w:sz w:val="24"/>
          <w:szCs w:val="24"/>
          <w:lang w:eastAsia="en-US"/>
        </w:rPr>
        <w:t>A eficácia da cessão de crédito, de qualquer natureza, em relação à Administração, está condicionada à celebração de termo aditivo ao contrato administrativo.</w:t>
      </w:r>
    </w:p>
    <w:p w14:paraId="663677E5"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9" w:anchor=":~:text=LEI%20N%C2%BA%208.429%2C%20DE%202%20DE%20JUNHO%20DE%201992&amp;text=Disp%C3%B5e%20sobre%20as%20san%C3%A7%C3%B5es%20aplic%C3%A1veis,fundacional%20e%20d%C3%A1%20outras%20provid%C3%AAncias." w:tooltip="https://www.planalto.gov.br/ccivil_03/leis/l8429.htm#:~:text=LEI%20N%C2%BA%208.429%2C%20DE%202%20DE%20JUNHO%20DE%201992&amp;text=Disp%C3%B5e%20sobre%20as%20san%C3%A7%C3%B5es%20aplic%C3%A1veis,fundacional%20e%20d%C3%A1%20outras%20provid%C3%AAncias." w:history="1">
        <w:r w:rsidRPr="000D79B8">
          <w:rPr>
            <w:rStyle w:val="Hyperlink"/>
            <w:rFonts w:ascii="Times New Roman" w:hAnsi="Times New Roman" w:cs="Times New Roman"/>
            <w:sz w:val="24"/>
            <w:szCs w:val="24"/>
            <w:lang w:eastAsia="en-US"/>
          </w:rPr>
          <w:t>o art. 12 da Lei nº 8.429, de 1992</w:t>
        </w:r>
      </w:hyperlink>
      <w:r w:rsidRPr="000D79B8">
        <w:rPr>
          <w:rFonts w:ascii="Times New Roman" w:hAnsi="Times New Roman" w:cs="Times New Roman"/>
          <w:sz w:val="24"/>
          <w:szCs w:val="24"/>
          <w:lang w:eastAsia="en-US"/>
        </w:rPr>
        <w:t xml:space="preserve">, nos termos do </w:t>
      </w:r>
      <w:hyperlink r:id="rId30" w:tooltip="http://www.planalto.gov.br/ccivil_03/AGU/Pareceres/2019-2022/PRC-JL-01-2020.htm" w:history="1">
        <w:r w:rsidRPr="000D79B8">
          <w:rPr>
            <w:rStyle w:val="Hyperlink"/>
            <w:rFonts w:ascii="Times New Roman" w:hAnsi="Times New Roman" w:cs="Times New Roman"/>
            <w:sz w:val="24"/>
            <w:szCs w:val="24"/>
            <w:lang w:eastAsia="en-US"/>
          </w:rPr>
          <w:t>Parecer JL-01, de 18 de maio de 2020.</w:t>
        </w:r>
      </w:hyperlink>
      <w:bookmarkStart w:id="20" w:name="_Hlk114498447"/>
      <w:bookmarkEnd w:id="20"/>
    </w:p>
    <w:p w14:paraId="52A27BD5"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commentRangeStart w:id="21"/>
      <w:r w:rsidRPr="000D79B8">
        <w:rPr>
          <w:rFonts w:ascii="Times New Roman" w:hAnsi="Times New Roman" w:cs="Times New Roman"/>
          <w:sz w:val="24"/>
          <w:szCs w:val="24"/>
        </w:rPr>
        <w:t>(INSTRUÇÃO NORMATIVA Nº 53, DE 8 DE JULHO DE 2020 e Anexos)</w:t>
      </w:r>
      <w:commentRangeEnd w:id="21"/>
      <w:r w:rsidRPr="000D79B8">
        <w:rPr>
          <w:rFonts w:ascii="Times New Roman" w:hAnsi="Times New Roman" w:cs="Times New Roman"/>
          <w:sz w:val="24"/>
          <w:szCs w:val="24"/>
        </w:rPr>
        <w:commentReference w:id="21"/>
      </w:r>
    </w:p>
    <w:p w14:paraId="3EACEF57" w14:textId="77777777" w:rsidR="00D14701" w:rsidRPr="000D79B8" w:rsidRDefault="00477D65">
      <w:pPr>
        <w:pStyle w:val="Nivel2"/>
        <w:rPr>
          <w:rFonts w:ascii="Times New Roman" w:hAnsi="Times New Roman" w:cs="Times New Roman"/>
          <w:sz w:val="24"/>
          <w:szCs w:val="24"/>
          <w:lang w:eastAsia="en-US"/>
        </w:rPr>
      </w:pPr>
      <w:r w:rsidRPr="000D79B8">
        <w:rPr>
          <w:rFonts w:ascii="Times New Roman" w:hAnsi="Times New Roman" w:cs="Times New Roman"/>
          <w:sz w:val="24"/>
          <w:szCs w:val="24"/>
          <w:lang w:eastAsia="en-US"/>
        </w:rPr>
        <w:t>A cessão de crédito não afetará a execução do objeto contratado, que continuará sob a integral responsabilidade do contratado.</w:t>
      </w:r>
      <w:commentRangeEnd w:id="19"/>
      <w:r w:rsidRPr="000D79B8">
        <w:rPr>
          <w:rFonts w:ascii="Times New Roman" w:hAnsi="Times New Roman" w:cs="Times New Roman"/>
          <w:sz w:val="24"/>
          <w:szCs w:val="24"/>
        </w:rPr>
        <w:commentReference w:id="19"/>
      </w:r>
    </w:p>
    <w:p w14:paraId="7BCBA39A" w14:textId="77777777" w:rsidR="00D14701" w:rsidRPr="000D79B8" w:rsidRDefault="00477D65">
      <w:pPr>
        <w:pStyle w:val="Nivel01"/>
        <w:rPr>
          <w:rFonts w:ascii="Times New Roman" w:hAnsi="Times New Roman" w:cs="Times New Roman"/>
          <w:sz w:val="24"/>
          <w:szCs w:val="24"/>
        </w:rPr>
      </w:pPr>
      <w:r w:rsidRPr="000D79B8">
        <w:rPr>
          <w:rFonts w:ascii="Times New Roman" w:hAnsi="Times New Roman" w:cs="Times New Roman"/>
          <w:sz w:val="24"/>
          <w:szCs w:val="24"/>
        </w:rPr>
        <w:lastRenderedPageBreak/>
        <w:t>FORMA E CRITÉRIOS DE SELEÇÃO DO FORNECEDOR E FORMA DE FORNECIMENTO</w:t>
      </w:r>
    </w:p>
    <w:p w14:paraId="4E50582F" w14:textId="77777777" w:rsidR="00D14701" w:rsidRPr="000D79B8" w:rsidRDefault="00477D65">
      <w:pPr>
        <w:pStyle w:val="Nvel1-SemNumPreto"/>
        <w:rPr>
          <w:rFonts w:ascii="Times New Roman" w:hAnsi="Times New Roman" w:cs="Times New Roman"/>
          <w:sz w:val="24"/>
          <w:szCs w:val="24"/>
          <w:highlight w:val="yellow"/>
        </w:rPr>
      </w:pPr>
      <w:r w:rsidRPr="000D79B8">
        <w:rPr>
          <w:rFonts w:ascii="Times New Roman" w:hAnsi="Times New Roman" w:cs="Times New Roman"/>
          <w:sz w:val="24"/>
          <w:szCs w:val="24"/>
        </w:rPr>
        <w:t>Forma de seleção e critério de julgamento da proposta</w:t>
      </w:r>
    </w:p>
    <w:p w14:paraId="7B53EC0C"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O fornecedor será selecionado por meio da realização de procedimento de LICITAÇÃO, na modalidade PREGÃO, sob a forma ELETRÔNICA, com adoção do critério de julgamento pelo </w:t>
      </w:r>
      <w:r w:rsidRPr="000D79B8">
        <w:rPr>
          <w:rFonts w:ascii="Times New Roman" w:hAnsi="Times New Roman" w:cs="Times New Roman"/>
          <w:color w:val="000000" w:themeColor="text1"/>
          <w:sz w:val="24"/>
          <w:szCs w:val="24"/>
        </w:rPr>
        <w:t>MENOR PREÇO.</w:t>
      </w:r>
    </w:p>
    <w:p w14:paraId="5D93748E"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Forma de fornecimento</w:t>
      </w:r>
    </w:p>
    <w:p w14:paraId="7CEB5083" w14:textId="77777777" w:rsidR="00D14701" w:rsidRPr="000D79B8" w:rsidRDefault="00477D65">
      <w:pPr>
        <w:pStyle w:val="Nivel2"/>
        <w:rPr>
          <w:rFonts w:ascii="Times New Roman" w:hAnsi="Times New Roman" w:cs="Times New Roman"/>
          <w:sz w:val="24"/>
          <w:szCs w:val="24"/>
        </w:rPr>
      </w:pPr>
      <w:r w:rsidRPr="000D79B8">
        <w:rPr>
          <w:rStyle w:val="normaltextrun"/>
          <w:rFonts w:ascii="Times New Roman" w:hAnsi="Times New Roman" w:cs="Times New Roman"/>
          <w:sz w:val="24"/>
          <w:szCs w:val="24"/>
          <w:shd w:val="clear" w:color="auto" w:fill="FFFFFF"/>
        </w:rPr>
        <w:t xml:space="preserve">O </w:t>
      </w:r>
      <w:r w:rsidRPr="000D79B8">
        <w:rPr>
          <w:rStyle w:val="findhit"/>
          <w:rFonts w:ascii="Times New Roman" w:hAnsi="Times New Roman" w:cs="Times New Roman"/>
          <w:sz w:val="24"/>
          <w:szCs w:val="24"/>
          <w:shd w:val="clear" w:color="auto" w:fill="FFFFFF"/>
        </w:rPr>
        <w:t xml:space="preserve">fornecimento do objeto será </w:t>
      </w:r>
      <w:r w:rsidRPr="000D79B8">
        <w:rPr>
          <w:rFonts w:ascii="Times New Roman" w:hAnsi="Times New Roman" w:cs="Times New Roman"/>
          <w:color w:val="000000" w:themeColor="text1"/>
          <w:sz w:val="24"/>
          <w:szCs w:val="24"/>
        </w:rPr>
        <w:t>integral.</w:t>
      </w:r>
    </w:p>
    <w:p w14:paraId="6A7CA521" w14:textId="77777777" w:rsidR="00D14701" w:rsidRPr="000D79B8" w:rsidRDefault="00477D65">
      <w:pPr>
        <w:pStyle w:val="Nvel1-SemNumPreto"/>
        <w:rPr>
          <w:rFonts w:ascii="Times New Roman" w:hAnsi="Times New Roman" w:cs="Times New Roman"/>
          <w:sz w:val="24"/>
          <w:szCs w:val="24"/>
        </w:rPr>
      </w:pPr>
      <w:commentRangeStart w:id="22"/>
      <w:r w:rsidRPr="000D79B8">
        <w:rPr>
          <w:rFonts w:ascii="Times New Roman" w:hAnsi="Times New Roman" w:cs="Times New Roman"/>
          <w:sz w:val="24"/>
          <w:szCs w:val="24"/>
        </w:rPr>
        <w:t>Exigências de habilitação</w:t>
      </w:r>
      <w:commentRangeEnd w:id="22"/>
      <w:r w:rsidRPr="000D79B8">
        <w:rPr>
          <w:rFonts w:ascii="Times New Roman" w:hAnsi="Times New Roman" w:cs="Times New Roman"/>
          <w:sz w:val="24"/>
          <w:szCs w:val="24"/>
        </w:rPr>
        <w:commentReference w:id="22"/>
      </w:r>
    </w:p>
    <w:p w14:paraId="51FDDC7B"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Para fins de habilitação, deverá o licitante comprovar os seguintes requisitos:</w:t>
      </w:r>
    </w:p>
    <w:p w14:paraId="13002E15"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Habilitação jurídica</w:t>
      </w:r>
    </w:p>
    <w:p w14:paraId="08F4957A" w14:textId="77777777" w:rsidR="00D14701" w:rsidRPr="000D79B8" w:rsidRDefault="00477D65">
      <w:pPr>
        <w:pStyle w:val="Nivel2"/>
        <w:rPr>
          <w:rFonts w:ascii="Times New Roman" w:hAnsi="Times New Roman" w:cs="Times New Roman"/>
          <w:sz w:val="24"/>
          <w:szCs w:val="24"/>
        </w:rPr>
      </w:pPr>
      <w:bookmarkStart w:id="23" w:name="_Ref115800561"/>
      <w:commentRangeStart w:id="24"/>
      <w:r w:rsidRPr="000D79B8">
        <w:rPr>
          <w:rFonts w:ascii="Times New Roman" w:hAnsi="Times New Roman" w:cs="Times New Roman"/>
          <w:b/>
          <w:bCs/>
          <w:sz w:val="24"/>
          <w:szCs w:val="24"/>
        </w:rPr>
        <w:t>Pessoa física:</w:t>
      </w:r>
      <w:r w:rsidRPr="000D79B8">
        <w:rPr>
          <w:rFonts w:ascii="Times New Roman" w:hAnsi="Times New Roman" w:cs="Times New Roman"/>
          <w:sz w:val="24"/>
          <w:szCs w:val="24"/>
        </w:rPr>
        <w:t xml:space="preserve"> cédula de identidade (RG) ou documento equivalente que, por força de lei, tenha validade para fins de identificação em todo o território nacional;</w:t>
      </w:r>
      <w:bookmarkEnd w:id="23"/>
      <w:commentRangeEnd w:id="24"/>
      <w:r w:rsidRPr="000D79B8">
        <w:rPr>
          <w:rFonts w:ascii="Times New Roman" w:hAnsi="Times New Roman" w:cs="Times New Roman"/>
          <w:sz w:val="24"/>
          <w:szCs w:val="24"/>
        </w:rPr>
        <w:commentReference w:id="24"/>
      </w:r>
    </w:p>
    <w:p w14:paraId="550600C7"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t>Empresário individual:</w:t>
      </w:r>
      <w:r w:rsidRPr="000D79B8">
        <w:rPr>
          <w:rFonts w:ascii="Times New Roman" w:hAnsi="Times New Roman" w:cs="Times New Roman"/>
          <w:sz w:val="24"/>
          <w:szCs w:val="24"/>
        </w:rPr>
        <w:t xml:space="preserve"> inscrição no Registro Público de Empresas Mercantis, a cargo da Junta Comercial da respectiva sede; </w:t>
      </w:r>
    </w:p>
    <w:p w14:paraId="6258C05C"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t>Microempreendedor Individual - MEI:</w:t>
      </w:r>
      <w:r w:rsidRPr="000D79B8">
        <w:rPr>
          <w:rFonts w:ascii="Times New Roman" w:hAnsi="Times New Roman" w:cs="Times New Roman"/>
          <w:sz w:val="24"/>
          <w:szCs w:val="24"/>
        </w:rPr>
        <w:t xml:space="preserve"> Certificado da Condição de Microempreendedor Individual - CCMEI, cuja aceitação ficará condicionada à verificação da autenticidade no sítio </w:t>
      </w:r>
      <w:hyperlink r:id="rId31" w:tooltip="https://www.gov.br/empresas-e-negocios/pt-br/empreendedor" w:history="1">
        <w:r w:rsidRPr="000D79B8">
          <w:rPr>
            <w:rStyle w:val="Hyperlink"/>
            <w:rFonts w:ascii="Times New Roman" w:hAnsi="Times New Roman" w:cs="Times New Roman"/>
            <w:sz w:val="24"/>
            <w:szCs w:val="24"/>
          </w:rPr>
          <w:t>https://www.gov.br/empresas-e-negocios/pt-br/empreendedor</w:t>
        </w:r>
      </w:hyperlink>
      <w:r w:rsidRPr="000D79B8">
        <w:rPr>
          <w:rFonts w:ascii="Times New Roman" w:hAnsi="Times New Roman" w:cs="Times New Roman"/>
          <w:sz w:val="24"/>
          <w:szCs w:val="24"/>
        </w:rPr>
        <w:t xml:space="preserve">; </w:t>
      </w:r>
    </w:p>
    <w:p w14:paraId="01D8831C" w14:textId="77777777" w:rsidR="00D14701" w:rsidRPr="000D79B8" w:rsidRDefault="00477D65">
      <w:pPr>
        <w:pStyle w:val="Nivel2"/>
        <w:rPr>
          <w:rFonts w:ascii="Times New Roman" w:hAnsi="Times New Roman" w:cs="Times New Roman"/>
          <w:sz w:val="24"/>
          <w:szCs w:val="24"/>
        </w:rPr>
      </w:pPr>
      <w:commentRangeStart w:id="25"/>
      <w:r w:rsidRPr="000D79B8">
        <w:rPr>
          <w:rFonts w:ascii="Times New Roman" w:hAnsi="Times New Roman"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25"/>
      <w:r w:rsidRPr="000D79B8">
        <w:rPr>
          <w:rFonts w:ascii="Times New Roman" w:hAnsi="Times New Roman" w:cs="Times New Roman"/>
          <w:sz w:val="24"/>
          <w:szCs w:val="24"/>
        </w:rPr>
        <w:commentReference w:id="25"/>
      </w:r>
    </w:p>
    <w:p w14:paraId="7AE5BF03"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t>Sociedade empresária estrangeira:</w:t>
      </w:r>
      <w:r w:rsidRPr="000D79B8">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tooltip="https://www.gov.br/economia/pt-br/assuntos/drei/legislacao/arquivos/legislacoes-federais/indrei772020.pdf" w:history="1">
        <w:r w:rsidRPr="000D79B8">
          <w:rPr>
            <w:rStyle w:val="Hyperlink"/>
            <w:rFonts w:ascii="Times New Roman" w:hAnsi="Times New Roman" w:cs="Times New Roman"/>
            <w:sz w:val="24"/>
            <w:szCs w:val="24"/>
          </w:rPr>
          <w:t>Normativa DREI/ME n.º 77, de 18 de março de 2020</w:t>
        </w:r>
      </w:hyperlink>
      <w:r w:rsidRPr="000D79B8">
        <w:rPr>
          <w:rFonts w:ascii="Times New Roman" w:hAnsi="Times New Roman" w:cs="Times New Roman"/>
          <w:sz w:val="24"/>
          <w:szCs w:val="24"/>
        </w:rPr>
        <w:t>.</w:t>
      </w:r>
    </w:p>
    <w:p w14:paraId="5ADDC116"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t xml:space="preserve">Sociedade simples: </w:t>
      </w:r>
      <w:r w:rsidRPr="000D79B8">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08455185"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t>Filial, sucursal ou agência de sociedade simples ou empresária:</w:t>
      </w:r>
      <w:r w:rsidRPr="000D79B8">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6" w:name="_Int_ySfCXwr4"/>
      <w:r w:rsidRPr="000D79B8">
        <w:rPr>
          <w:rFonts w:ascii="Times New Roman" w:hAnsi="Times New Roman" w:cs="Times New Roman"/>
          <w:sz w:val="24"/>
          <w:szCs w:val="24"/>
        </w:rPr>
        <w:t>Mercantis onde</w:t>
      </w:r>
      <w:bookmarkEnd w:id="26"/>
      <w:r w:rsidRPr="000D79B8">
        <w:rPr>
          <w:rFonts w:ascii="Times New Roman" w:hAnsi="Times New Roman" w:cs="Times New Roman"/>
          <w:sz w:val="24"/>
          <w:szCs w:val="24"/>
        </w:rPr>
        <w:t xml:space="preserve"> opera, com averbação no Registro onde tem sede a matriz</w:t>
      </w:r>
    </w:p>
    <w:p w14:paraId="66551DB3"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lastRenderedPageBreak/>
        <w:t>Sociedade cooperativa:</w:t>
      </w:r>
      <w:r w:rsidRPr="000D79B8">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tooltip="https://www.planalto.gov.br/ccivil_03/leis/l5764.htm#art107" w:history="1">
        <w:r w:rsidRPr="000D79B8">
          <w:rPr>
            <w:rStyle w:val="Hyperlink"/>
            <w:rFonts w:ascii="Times New Roman" w:hAnsi="Times New Roman" w:cs="Times New Roman"/>
            <w:sz w:val="24"/>
            <w:szCs w:val="24"/>
          </w:rPr>
          <w:t>art. 107 da Lei nº 5.764, de 16 de dezembro 1971</w:t>
        </w:r>
      </w:hyperlink>
      <w:r w:rsidRPr="000D79B8">
        <w:rPr>
          <w:rFonts w:ascii="Times New Roman" w:hAnsi="Times New Roman" w:cs="Times New Roman"/>
          <w:sz w:val="24"/>
          <w:szCs w:val="24"/>
        </w:rPr>
        <w:t>.</w:t>
      </w:r>
    </w:p>
    <w:p w14:paraId="6A6159AE"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t>Agricultor familiar:</w:t>
      </w:r>
      <w:r w:rsidRPr="000D79B8">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34" w:anchor="art4§2" w:tooltip="https://www.planalto.gov.br/ccivil_03/_ato2019-2022/2021/decreto/d10880.htm#art4§2" w:history="1">
        <w:r w:rsidRPr="000D79B8">
          <w:rPr>
            <w:rStyle w:val="Hyperlink"/>
            <w:rFonts w:ascii="Times New Roman" w:hAnsi="Times New Roman" w:cs="Times New Roman"/>
            <w:sz w:val="24"/>
            <w:szCs w:val="24"/>
          </w:rPr>
          <w:t xml:space="preserve"> art. 4º, §2º do Decreto nº 10.880, de 2 de dezembro de 2021</w:t>
        </w:r>
      </w:hyperlink>
      <w:r w:rsidRPr="000D79B8">
        <w:rPr>
          <w:rFonts w:ascii="Times New Roman" w:hAnsi="Times New Roman" w:cs="Times New Roman"/>
          <w:sz w:val="24"/>
          <w:szCs w:val="24"/>
        </w:rPr>
        <w:t>.</w:t>
      </w:r>
    </w:p>
    <w:p w14:paraId="33BA5981"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b/>
          <w:bCs/>
          <w:sz w:val="24"/>
          <w:szCs w:val="24"/>
        </w:rPr>
        <w:t>Produtor Rural:</w:t>
      </w:r>
      <w:r w:rsidRPr="000D79B8">
        <w:rPr>
          <w:rFonts w:ascii="Times New Roman" w:hAnsi="Times New Roman" w:cs="Times New Roman"/>
          <w:sz w:val="24"/>
          <w:szCs w:val="24"/>
        </w:rPr>
        <w:t xml:space="preserve"> matrícula no Cadastro Específico do INSS – CEI, que comprove a qualificação como produtor rural pessoa física, nos termos da </w:t>
      </w:r>
      <w:hyperlink r:id="rId35" w:tooltip="https://www.gov.br/trabalho-e-previdencia/pt-br/servicos/empregador/programa-de-alimentacao-do-trabalhador-pat/arquivos-legislacao/instrucoes-normativas/pat_in_971_2009.pdf" w:history="1">
        <w:r w:rsidRPr="000D79B8">
          <w:rPr>
            <w:rStyle w:val="Hyperlink"/>
            <w:rFonts w:ascii="Times New Roman" w:hAnsi="Times New Roman" w:cs="Times New Roman"/>
            <w:sz w:val="24"/>
            <w:szCs w:val="24"/>
          </w:rPr>
          <w:t>Instrução Normativa RFB n. 971, de 13 de novembro de 2009</w:t>
        </w:r>
      </w:hyperlink>
      <w:r w:rsidRPr="000D79B8">
        <w:rPr>
          <w:rFonts w:ascii="Times New Roman" w:hAnsi="Times New Roman" w:cs="Times New Roman"/>
          <w:sz w:val="24"/>
          <w:szCs w:val="24"/>
        </w:rPr>
        <w:t xml:space="preserve"> (</w:t>
      </w:r>
      <w:proofErr w:type="spellStart"/>
      <w:r w:rsidRPr="000D79B8">
        <w:rPr>
          <w:rFonts w:ascii="Times New Roman" w:hAnsi="Times New Roman" w:cs="Times New Roman"/>
          <w:sz w:val="24"/>
          <w:szCs w:val="24"/>
        </w:rPr>
        <w:t>arts</w:t>
      </w:r>
      <w:proofErr w:type="spellEnd"/>
      <w:r w:rsidRPr="000D79B8">
        <w:rPr>
          <w:rFonts w:ascii="Times New Roman" w:hAnsi="Times New Roman" w:cs="Times New Roman"/>
          <w:sz w:val="24"/>
          <w:szCs w:val="24"/>
        </w:rPr>
        <w:t>. 17 a 19 e 165).</w:t>
      </w:r>
    </w:p>
    <w:p w14:paraId="0F0875EB" w14:textId="77777777" w:rsidR="00D14701" w:rsidRPr="000D79B8" w:rsidRDefault="00477D65">
      <w:pPr>
        <w:pStyle w:val="Nvel2-Red"/>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 xml:space="preserve">Os produtos deverão estar registrado no INMETRO, bem como possuir autorização de Operação na área de Manutenção de equipamentos de raios-x, emitida pela Comissão </w:t>
      </w:r>
      <w:proofErr w:type="gramStart"/>
      <w:r w:rsidRPr="000D79B8">
        <w:rPr>
          <w:rFonts w:ascii="Times New Roman" w:hAnsi="Times New Roman" w:cs="Times New Roman"/>
          <w:i w:val="0"/>
          <w:iCs w:val="0"/>
          <w:color w:val="000000" w:themeColor="text1"/>
          <w:sz w:val="24"/>
          <w:szCs w:val="24"/>
        </w:rPr>
        <w:t>Nacional  de</w:t>
      </w:r>
      <w:proofErr w:type="gramEnd"/>
      <w:r w:rsidRPr="000D79B8">
        <w:rPr>
          <w:rFonts w:ascii="Times New Roman" w:hAnsi="Times New Roman" w:cs="Times New Roman"/>
          <w:i w:val="0"/>
          <w:iCs w:val="0"/>
          <w:color w:val="000000" w:themeColor="text1"/>
          <w:sz w:val="24"/>
          <w:szCs w:val="24"/>
        </w:rPr>
        <w:t xml:space="preserve"> Energia Nuclear (CNEN).</w:t>
      </w:r>
    </w:p>
    <w:p w14:paraId="52A079DC"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Os documentos apresentados deverão estar acompanhados de todas as alterações ou da consolidação respectiva.</w:t>
      </w:r>
    </w:p>
    <w:p w14:paraId="716FBD51" w14:textId="77777777" w:rsidR="00D14701" w:rsidRPr="000D79B8" w:rsidRDefault="00477D65">
      <w:pPr>
        <w:pStyle w:val="Nvel1-SemNumPreto"/>
        <w:rPr>
          <w:rFonts w:ascii="Times New Roman" w:hAnsi="Times New Roman" w:cs="Times New Roman"/>
          <w:sz w:val="24"/>
          <w:szCs w:val="24"/>
        </w:rPr>
      </w:pPr>
      <w:r w:rsidRPr="000D79B8">
        <w:rPr>
          <w:rFonts w:ascii="Times New Roman" w:hAnsi="Times New Roman" w:cs="Times New Roman"/>
          <w:sz w:val="24"/>
          <w:szCs w:val="24"/>
        </w:rPr>
        <w:t>Habilitação fiscal, social e trabalhista</w:t>
      </w:r>
    </w:p>
    <w:p w14:paraId="66BEC8CE" w14:textId="77777777" w:rsidR="00D14701" w:rsidRPr="000D79B8" w:rsidRDefault="00477D65">
      <w:pPr>
        <w:pStyle w:val="Nivel2"/>
        <w:rPr>
          <w:rFonts w:ascii="Times New Roman" w:hAnsi="Times New Roman" w:cs="Times New Roman"/>
          <w:sz w:val="24"/>
          <w:szCs w:val="24"/>
        </w:rPr>
      </w:pPr>
      <w:commentRangeStart w:id="27"/>
      <w:r w:rsidRPr="000D79B8">
        <w:rPr>
          <w:rFonts w:ascii="Times New Roman" w:hAnsi="Times New Roman" w:cs="Times New Roman"/>
          <w:sz w:val="24"/>
          <w:szCs w:val="24"/>
        </w:rPr>
        <w:t>Prova de inscrição no Cadastro Nacional de Pessoas Jurídicas ou no Cadastro de Pessoas Físicas, conforme o caso;</w:t>
      </w:r>
    </w:p>
    <w:p w14:paraId="402A74C2"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7CDFBDC"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Prova de regularidade com o Fundo de Garantia do Tempo de Serviço (FGTS);</w:t>
      </w:r>
    </w:p>
    <w:p w14:paraId="74440867"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1033D51"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Prova de inscrição no cadastro de contribuintes </w:t>
      </w:r>
      <w:r w:rsidRPr="000D79B8">
        <w:rPr>
          <w:rFonts w:ascii="Times New Roman" w:hAnsi="Times New Roman" w:cs="Times New Roman"/>
          <w:color w:val="000000" w:themeColor="text1"/>
          <w:sz w:val="24"/>
          <w:szCs w:val="24"/>
        </w:rPr>
        <w:t>[Estadual/Distrital]</w:t>
      </w:r>
      <w:r w:rsidRPr="000D79B8">
        <w:rPr>
          <w:rFonts w:ascii="Times New Roman" w:hAnsi="Times New Roman" w:cs="Times New Roman"/>
          <w:color w:val="FF0000"/>
          <w:sz w:val="24"/>
          <w:szCs w:val="24"/>
        </w:rPr>
        <w:t xml:space="preserve"> </w:t>
      </w:r>
      <w:r w:rsidRPr="000D79B8">
        <w:rPr>
          <w:rFonts w:ascii="Times New Roman" w:hAnsi="Times New Roman" w:cs="Times New Roman"/>
          <w:sz w:val="24"/>
          <w:szCs w:val="24"/>
        </w:rPr>
        <w:t xml:space="preserve">relativo ao domicílio ou sede do fornecedor, pertinente ao seu ramo de atividade e compatível com o objeto contratual; </w:t>
      </w:r>
    </w:p>
    <w:p w14:paraId="24544DD4"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Prova de regularidade com a Fazenda </w:t>
      </w:r>
      <w:r w:rsidRPr="000D79B8">
        <w:rPr>
          <w:rFonts w:ascii="Times New Roman" w:hAnsi="Times New Roman" w:cs="Times New Roman"/>
          <w:color w:val="000000" w:themeColor="text1"/>
          <w:sz w:val="24"/>
          <w:szCs w:val="24"/>
        </w:rPr>
        <w:t>[Estadual/</w:t>
      </w:r>
      <w:proofErr w:type="gramStart"/>
      <w:r w:rsidRPr="000D79B8">
        <w:rPr>
          <w:rFonts w:ascii="Times New Roman" w:hAnsi="Times New Roman" w:cs="Times New Roman"/>
          <w:color w:val="000000" w:themeColor="text1"/>
          <w:sz w:val="24"/>
          <w:szCs w:val="24"/>
        </w:rPr>
        <w:t>Distrital]</w:t>
      </w:r>
      <w:r w:rsidRPr="000D79B8">
        <w:rPr>
          <w:rFonts w:ascii="Times New Roman" w:hAnsi="Times New Roman" w:cs="Times New Roman"/>
          <w:color w:val="FF0000"/>
          <w:sz w:val="24"/>
          <w:szCs w:val="24"/>
        </w:rPr>
        <w:t xml:space="preserve">  </w:t>
      </w:r>
      <w:r w:rsidRPr="000D79B8">
        <w:rPr>
          <w:rFonts w:ascii="Times New Roman" w:hAnsi="Times New Roman" w:cs="Times New Roman"/>
          <w:sz w:val="24"/>
          <w:szCs w:val="24"/>
        </w:rPr>
        <w:t>do</w:t>
      </w:r>
      <w:proofErr w:type="gramEnd"/>
      <w:r w:rsidRPr="000D79B8">
        <w:rPr>
          <w:rFonts w:ascii="Times New Roman" w:hAnsi="Times New Roman" w:cs="Times New Roman"/>
          <w:sz w:val="24"/>
          <w:szCs w:val="24"/>
        </w:rPr>
        <w:t xml:space="preserve"> domicílio ou sede do fornecedor, relativa à atividade em cujo exercício contrata ou concorre;</w:t>
      </w:r>
      <w:commentRangeEnd w:id="27"/>
      <w:r w:rsidRPr="000D79B8">
        <w:rPr>
          <w:rFonts w:ascii="Times New Roman" w:hAnsi="Times New Roman" w:cs="Times New Roman"/>
          <w:sz w:val="24"/>
          <w:szCs w:val="24"/>
        </w:rPr>
        <w:commentReference w:id="27"/>
      </w:r>
    </w:p>
    <w:p w14:paraId="4E201268"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Caso o fornecedor seja considerado isento dos tributos </w:t>
      </w:r>
      <w:r w:rsidRPr="000D79B8">
        <w:rPr>
          <w:rFonts w:ascii="Times New Roman" w:hAnsi="Times New Roman" w:cs="Times New Roman"/>
          <w:color w:val="000000" w:themeColor="text1"/>
          <w:sz w:val="24"/>
          <w:szCs w:val="24"/>
        </w:rPr>
        <w:t>[Estadual/Distrital]</w:t>
      </w:r>
      <w:r w:rsidRPr="000D79B8">
        <w:rPr>
          <w:rFonts w:ascii="Times New Roman" w:hAnsi="Times New Roman" w:cs="Times New Roman"/>
          <w:color w:val="FF0000"/>
          <w:sz w:val="24"/>
          <w:szCs w:val="24"/>
        </w:rPr>
        <w:t xml:space="preserve"> </w:t>
      </w:r>
      <w:r w:rsidRPr="000D79B8">
        <w:rPr>
          <w:rFonts w:ascii="Times New Roman" w:hAnsi="Times New Roman" w:cs="Times New Roman"/>
          <w:sz w:val="24"/>
          <w:szCs w:val="24"/>
        </w:rPr>
        <w:t>relacionados ao objeto contratual, deverá comprovar tal condição mediante a apresentação de declaração da Fazenda respectiva do seu domicílio ou sede, ou outra equivalente, na forma da lei.</w:t>
      </w:r>
    </w:p>
    <w:p w14:paraId="3F6EEFE1" w14:textId="77777777" w:rsidR="00D14701" w:rsidRPr="000D79B8" w:rsidRDefault="00477D65">
      <w:pPr>
        <w:pStyle w:val="Nivel2"/>
        <w:rPr>
          <w:rFonts w:ascii="Times New Roman" w:hAnsi="Times New Roman" w:cs="Times New Roman"/>
          <w:sz w:val="24"/>
          <w:szCs w:val="24"/>
        </w:rPr>
      </w:pPr>
      <w:commentRangeStart w:id="28"/>
      <w:r w:rsidRPr="000D79B8">
        <w:rPr>
          <w:rFonts w:ascii="Times New Roman" w:hAnsi="Times New Roman" w:cs="Times New Roman"/>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28"/>
      <w:r w:rsidRPr="000D79B8">
        <w:rPr>
          <w:rFonts w:ascii="Times New Roman" w:hAnsi="Times New Roman" w:cs="Times New Roman"/>
          <w:sz w:val="24"/>
          <w:szCs w:val="24"/>
        </w:rPr>
        <w:commentReference w:id="28"/>
      </w:r>
    </w:p>
    <w:p w14:paraId="6B2027ED" w14:textId="77777777" w:rsidR="00D14701" w:rsidRPr="000D79B8" w:rsidRDefault="00477D65">
      <w:pPr>
        <w:pStyle w:val="Nvel1-SemNumPreto"/>
        <w:rPr>
          <w:rFonts w:ascii="Times New Roman" w:hAnsi="Times New Roman" w:cs="Times New Roman"/>
          <w:sz w:val="24"/>
          <w:szCs w:val="24"/>
        </w:rPr>
      </w:pPr>
      <w:commentRangeStart w:id="29"/>
      <w:r w:rsidRPr="000D79B8">
        <w:rPr>
          <w:rFonts w:ascii="Times New Roman" w:hAnsi="Times New Roman" w:cs="Times New Roman"/>
          <w:sz w:val="24"/>
          <w:szCs w:val="24"/>
        </w:rPr>
        <w:t>Qualificação Econômico-Financeira</w:t>
      </w:r>
      <w:commentRangeEnd w:id="29"/>
      <w:r w:rsidRPr="000D79B8">
        <w:rPr>
          <w:rFonts w:ascii="Times New Roman" w:hAnsi="Times New Roman" w:cs="Times New Roman"/>
          <w:sz w:val="24"/>
          <w:szCs w:val="24"/>
        </w:rPr>
        <w:commentReference w:id="29"/>
      </w:r>
    </w:p>
    <w:p w14:paraId="1E0FB4B0"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36" w:anchor="art5" w:tooltip="https://www.gov.br/compras/pt-br/acesso-a-informacao/legislacao/instrucoes-normativas/instrucao-normativa-seges-me-no-116-de-21-de-dezembro-de-2021#art5" w:history="1">
        <w:r w:rsidRPr="000D79B8">
          <w:rPr>
            <w:rStyle w:val="Hyperlink"/>
            <w:rFonts w:ascii="Times New Roman" w:hAnsi="Times New Roman" w:cs="Times New Roman"/>
            <w:sz w:val="24"/>
            <w:szCs w:val="24"/>
          </w:rPr>
          <w:t>art. 5º, inciso II, alínea “c”, da Instrução Normativa Seges/ME nº 116, de 2021</w:t>
        </w:r>
      </w:hyperlink>
      <w:r w:rsidRPr="000D79B8">
        <w:rPr>
          <w:rFonts w:ascii="Times New Roman" w:hAnsi="Times New Roman" w:cs="Times New Roman"/>
          <w:sz w:val="24"/>
          <w:szCs w:val="24"/>
        </w:rPr>
        <w:t xml:space="preserve">), ou de sociedade simples; </w:t>
      </w:r>
    </w:p>
    <w:p w14:paraId="5B93971B"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 xml:space="preserve">Certidão negativa de falência expedida pelo distribuidor da sede do fornecedor - </w:t>
      </w:r>
      <w:hyperlink r:id="rId37" w:anchor="art69" w:tooltip="http://www.planalto.gov.br/ccivil_03/_ato2019-2022/2021/lei/L14133.htm#art69" w:history="1">
        <w:r w:rsidRPr="000D79B8">
          <w:rPr>
            <w:rStyle w:val="Hyperlink"/>
            <w:rFonts w:ascii="Times New Roman" w:hAnsi="Times New Roman" w:cs="Times New Roman"/>
            <w:sz w:val="24"/>
            <w:szCs w:val="24"/>
          </w:rPr>
          <w:t>Lei nº 14.133, de 2021, art. 69, caput, inciso II</w:t>
        </w:r>
      </w:hyperlink>
      <w:r w:rsidRPr="000D79B8">
        <w:rPr>
          <w:rFonts w:ascii="Times New Roman" w:hAnsi="Times New Roman" w:cs="Times New Roman"/>
          <w:sz w:val="24"/>
          <w:szCs w:val="24"/>
        </w:rPr>
        <w:t>);</w:t>
      </w:r>
    </w:p>
    <w:p w14:paraId="4818D87A"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Balanço patrimonial, demonstração de resultado de exercício e demais demonstrações contábeis dos 2 (dois) últimos exercícios sociais, comprovando;</w:t>
      </w:r>
    </w:p>
    <w:p w14:paraId="7C3588D9"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índices de Liquidez Geral (LG), Liquidez Corrente (LC), e Solvência Geral (SG) superiores a 1 (um);</w:t>
      </w:r>
    </w:p>
    <w:p w14:paraId="2CCFE671"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w:t>
      </w:r>
    </w:p>
    <w:p w14:paraId="3EC84F66"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Os documentos referidos acima limitar-se-ão ao último exercício no caso de a pessoa jurídica ter sido constituída há menos de 2 (dois) anos;</w:t>
      </w:r>
    </w:p>
    <w:p w14:paraId="259AC76F" w14:textId="77777777" w:rsidR="00D14701" w:rsidRPr="000D79B8" w:rsidRDefault="00477D65">
      <w:pPr>
        <w:pStyle w:val="Nivel3"/>
        <w:rPr>
          <w:rFonts w:ascii="Times New Roman" w:hAnsi="Times New Roman" w:cs="Times New Roman"/>
          <w:sz w:val="24"/>
          <w:szCs w:val="24"/>
        </w:rPr>
      </w:pPr>
      <w:commentRangeStart w:id="30"/>
      <w:r w:rsidRPr="000D79B8">
        <w:rPr>
          <w:rFonts w:ascii="Times New Roman" w:hAnsi="Times New Roman" w:cs="Times New Roman"/>
          <w:sz w:val="24"/>
          <w:szCs w:val="24"/>
        </w:rPr>
        <w:t xml:space="preserve">Os documentos referidos </w:t>
      </w:r>
      <w:commentRangeEnd w:id="30"/>
      <w:r w:rsidRPr="000D79B8">
        <w:rPr>
          <w:rFonts w:ascii="Times New Roman" w:hAnsi="Times New Roman" w:cs="Times New Roman"/>
          <w:sz w:val="24"/>
          <w:szCs w:val="24"/>
        </w:rPr>
        <w:commentReference w:id="30"/>
      </w:r>
      <w:r w:rsidRPr="000D79B8">
        <w:rPr>
          <w:rFonts w:ascii="Times New Roman" w:hAnsi="Times New Roman" w:cs="Times New Roman"/>
          <w:sz w:val="24"/>
          <w:szCs w:val="24"/>
        </w:rPr>
        <w:t xml:space="preserve">acima deverão ser exigidos com base no limite definido pela Receita Federal do Brasil para transmissão da Escrituração Contábil Digital - ECD ao </w:t>
      </w:r>
      <w:proofErr w:type="spellStart"/>
      <w:r w:rsidRPr="000D79B8">
        <w:rPr>
          <w:rFonts w:ascii="Times New Roman" w:hAnsi="Times New Roman" w:cs="Times New Roman"/>
          <w:sz w:val="24"/>
          <w:szCs w:val="24"/>
        </w:rPr>
        <w:t>Sped</w:t>
      </w:r>
      <w:proofErr w:type="spellEnd"/>
      <w:r w:rsidRPr="000D79B8">
        <w:rPr>
          <w:rFonts w:ascii="Times New Roman" w:hAnsi="Times New Roman" w:cs="Times New Roman"/>
          <w:sz w:val="24"/>
          <w:szCs w:val="24"/>
        </w:rPr>
        <w:t>.</w:t>
      </w:r>
    </w:p>
    <w:p w14:paraId="1815B9C8" w14:textId="77777777" w:rsidR="00D14701" w:rsidRPr="000D79B8" w:rsidRDefault="00477D65">
      <w:pPr>
        <w:pStyle w:val="Nivel2"/>
        <w:rPr>
          <w:rFonts w:ascii="Times New Roman" w:hAnsi="Times New Roman" w:cs="Times New Roman"/>
          <w:color w:val="FF0000"/>
          <w:sz w:val="24"/>
          <w:szCs w:val="24"/>
          <w:u w:val="single"/>
        </w:rPr>
      </w:pPr>
      <w:r w:rsidRPr="000D79B8">
        <w:rPr>
          <w:rFonts w:ascii="Times New Roman" w:hAnsi="Times New Roman" w:cs="Times New Roman"/>
          <w:sz w:val="24"/>
          <w:szCs w:val="24"/>
        </w:rPr>
        <w:t xml:space="preserve">Caso a empresa licitante apresente resultado inferior ou igual a 1 (um) em qualquer dos índices de Liquidez Geral (LG), Solvência Geral (SG) e Liquidez Corrente (LC), será exigido para fins de habilitação </w:t>
      </w:r>
      <w:r w:rsidRPr="000D79B8">
        <w:rPr>
          <w:rFonts w:ascii="Times New Roman" w:hAnsi="Times New Roman" w:cs="Times New Roman"/>
          <w:color w:val="000000" w:themeColor="text1"/>
          <w:sz w:val="24"/>
          <w:szCs w:val="24"/>
        </w:rPr>
        <w:t xml:space="preserve">capital mínimo de até 10% do valor total estimado da contratação. </w:t>
      </w:r>
    </w:p>
    <w:p w14:paraId="1484D9F1"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7A9B370" w14:textId="77777777" w:rsidR="00D14701" w:rsidRPr="000D79B8" w:rsidRDefault="00477D65">
      <w:pPr>
        <w:pStyle w:val="Nvel2-Red"/>
        <w:rPr>
          <w:rFonts w:ascii="Times New Roman" w:hAnsi="Times New Roman" w:cs="Times New Roman"/>
          <w:i w:val="0"/>
          <w:iCs w:val="0"/>
          <w:sz w:val="24"/>
          <w:szCs w:val="24"/>
        </w:rPr>
      </w:pPr>
      <w:commentRangeStart w:id="31"/>
      <w:r w:rsidRPr="000D79B8">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commentRangeEnd w:id="31"/>
      <w:r w:rsidRPr="000D79B8">
        <w:rPr>
          <w:rFonts w:ascii="Times New Roman" w:hAnsi="Times New Roman" w:cs="Times New Roman"/>
          <w:i w:val="0"/>
          <w:iCs w:val="0"/>
          <w:sz w:val="24"/>
          <w:szCs w:val="24"/>
        </w:rPr>
        <w:commentReference w:id="31"/>
      </w:r>
    </w:p>
    <w:p w14:paraId="77101DCC" w14:textId="77777777" w:rsidR="00D14701" w:rsidRPr="000D79B8" w:rsidRDefault="00477D65">
      <w:pPr>
        <w:pStyle w:val="Nvel1-SemNumPreto"/>
        <w:rPr>
          <w:rFonts w:ascii="Times New Roman" w:hAnsi="Times New Roman" w:cs="Times New Roman"/>
          <w:sz w:val="24"/>
          <w:szCs w:val="24"/>
        </w:rPr>
      </w:pPr>
      <w:commentRangeStart w:id="32"/>
      <w:r w:rsidRPr="000D79B8">
        <w:rPr>
          <w:rFonts w:ascii="Times New Roman" w:hAnsi="Times New Roman" w:cs="Times New Roman"/>
          <w:sz w:val="24"/>
          <w:szCs w:val="24"/>
        </w:rPr>
        <w:t>Qualificação Técnica</w:t>
      </w:r>
      <w:commentRangeEnd w:id="32"/>
      <w:r w:rsidRPr="000D79B8">
        <w:rPr>
          <w:rFonts w:ascii="Times New Roman" w:hAnsi="Times New Roman" w:cs="Times New Roman"/>
          <w:sz w:val="24"/>
          <w:szCs w:val="24"/>
        </w:rPr>
        <w:commentReference w:id="32"/>
      </w:r>
    </w:p>
    <w:p w14:paraId="55B5B49E" w14:textId="77777777" w:rsidR="00D14701" w:rsidRPr="000D79B8" w:rsidRDefault="00477D65">
      <w:pPr>
        <w:pStyle w:val="Nvel2-Red"/>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036B3B3" w14:textId="66EA19E5" w:rsidR="00D14701" w:rsidRPr="000D79B8" w:rsidRDefault="00477D65">
      <w:pPr>
        <w:pStyle w:val="Nvel3-R"/>
        <w:rPr>
          <w:rFonts w:ascii="Times New Roman" w:hAnsi="Times New Roman" w:cs="Times New Roman"/>
          <w:i w:val="0"/>
          <w:iCs w:val="0"/>
          <w:sz w:val="24"/>
          <w:szCs w:val="24"/>
          <w:shd w:val="clear" w:color="auto" w:fill="FFFF00"/>
        </w:rPr>
      </w:pPr>
      <w:r w:rsidRPr="000D79B8">
        <w:rPr>
          <w:rFonts w:ascii="Times New Roman" w:hAnsi="Times New Roman" w:cs="Times New Roman"/>
          <w:i w:val="0"/>
          <w:iCs w:val="0"/>
          <w:color w:val="000000" w:themeColor="text1"/>
          <w:sz w:val="24"/>
          <w:szCs w:val="24"/>
        </w:rPr>
        <w:lastRenderedPageBreak/>
        <w:t>Os atestados de capacidade técnica poderão ser apresentados em nome da matriz ou da filial do fornecedor</w:t>
      </w:r>
      <w:r w:rsidR="00FE45B2" w:rsidRPr="000D79B8">
        <w:rPr>
          <w:rFonts w:ascii="Times New Roman" w:hAnsi="Times New Roman" w:cs="Times New Roman"/>
          <w:i w:val="0"/>
          <w:iCs w:val="0"/>
          <w:color w:val="000000" w:themeColor="text1"/>
          <w:sz w:val="24"/>
          <w:szCs w:val="24"/>
        </w:rPr>
        <w:t xml:space="preserve"> e</w:t>
      </w:r>
      <w:r w:rsidR="00A429C6" w:rsidRPr="000D79B8">
        <w:rPr>
          <w:rFonts w:ascii="Times New Roman" w:hAnsi="Times New Roman" w:cs="Times New Roman"/>
          <w:i w:val="0"/>
          <w:iCs w:val="0"/>
          <w:color w:val="000000" w:themeColor="text1"/>
          <w:sz w:val="24"/>
          <w:szCs w:val="24"/>
        </w:rPr>
        <w:t xml:space="preserve"> deve ser</w:t>
      </w:r>
      <w:r w:rsidR="00FE45B2" w:rsidRPr="000D79B8">
        <w:rPr>
          <w:rFonts w:ascii="Times New Roman" w:hAnsi="Times New Roman" w:cs="Times New Roman"/>
          <w:i w:val="0"/>
          <w:iCs w:val="0"/>
          <w:color w:val="000000" w:themeColor="text1"/>
          <w:sz w:val="24"/>
          <w:szCs w:val="24"/>
        </w:rPr>
        <w:t xml:space="preserve"> </w:t>
      </w:r>
      <w:r w:rsidR="00A429C6" w:rsidRPr="000D79B8">
        <w:rPr>
          <w:rFonts w:ascii="Times New Roman" w:hAnsi="Times New Roman" w:cs="Times New Roman"/>
          <w:i w:val="0"/>
          <w:iCs w:val="0"/>
          <w:color w:val="000000"/>
          <w:sz w:val="24"/>
          <w:szCs w:val="24"/>
        </w:rPr>
        <w:t>compatível em características, quantidades e prazos com o objeto da presente licitação.</w:t>
      </w:r>
    </w:p>
    <w:p w14:paraId="468999B3" w14:textId="77777777" w:rsidR="00D14701" w:rsidRPr="000D79B8" w:rsidRDefault="00477D65">
      <w:pPr>
        <w:pStyle w:val="Nvel3-R"/>
        <w:rPr>
          <w:rFonts w:ascii="Times New Roman"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7DA411E"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Caso admitida a participação de cooperativas, será exigida a seguinte documentação complementar:</w:t>
      </w:r>
    </w:p>
    <w:p w14:paraId="7B00F49C"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8" w:anchor="art4" w:tooltip="https://www.planalto.gov.br/ccivil_03/leis/l5764.htm#art4" w:history="1">
        <w:proofErr w:type="spellStart"/>
        <w:r w:rsidRPr="000D79B8">
          <w:rPr>
            <w:rStyle w:val="Hyperlink"/>
            <w:rFonts w:ascii="Times New Roman" w:hAnsi="Times New Roman" w:cs="Times New Roman"/>
            <w:sz w:val="24"/>
            <w:szCs w:val="24"/>
          </w:rPr>
          <w:t>arts</w:t>
        </w:r>
        <w:proofErr w:type="spellEnd"/>
        <w:r w:rsidRPr="000D79B8">
          <w:rPr>
            <w:rStyle w:val="Hyperlink"/>
            <w:rFonts w:ascii="Times New Roman" w:hAnsi="Times New Roman" w:cs="Times New Roman"/>
            <w:sz w:val="24"/>
            <w:szCs w:val="24"/>
          </w:rPr>
          <w:t>. 4º, inciso XI, 21, inciso I</w:t>
        </w:r>
      </w:hyperlink>
      <w:r w:rsidRPr="000D79B8">
        <w:rPr>
          <w:rFonts w:ascii="Times New Roman" w:hAnsi="Times New Roman" w:cs="Times New Roman"/>
          <w:sz w:val="24"/>
          <w:szCs w:val="24"/>
        </w:rPr>
        <w:t xml:space="preserve"> e </w:t>
      </w:r>
      <w:hyperlink r:id="rId39" w:anchor="art42" w:tooltip="https://www.planalto.gov.br/ccivil_03/leis/l5764.htm#art42" w:history="1">
        <w:r w:rsidRPr="000D79B8">
          <w:rPr>
            <w:rStyle w:val="Hyperlink"/>
            <w:rFonts w:ascii="Times New Roman" w:hAnsi="Times New Roman" w:cs="Times New Roman"/>
            <w:sz w:val="24"/>
            <w:szCs w:val="24"/>
          </w:rPr>
          <w:t>42, §§2º a 6º da Lei n. 5.764, de 1971</w:t>
        </w:r>
      </w:hyperlink>
      <w:r w:rsidRPr="000D79B8">
        <w:rPr>
          <w:rFonts w:ascii="Times New Roman" w:hAnsi="Times New Roman" w:cs="Times New Roman"/>
          <w:sz w:val="24"/>
          <w:szCs w:val="24"/>
        </w:rPr>
        <w:t>;</w:t>
      </w:r>
    </w:p>
    <w:p w14:paraId="6EB50745"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A declaração de regularidade de situação do contribuinte individual – DRSCI, para cada um dos cooperados indicados;</w:t>
      </w:r>
    </w:p>
    <w:p w14:paraId="31E4D2FC"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A comprovação do capital social proporcional ao número de cooperados necessários à execução contratual; </w:t>
      </w:r>
    </w:p>
    <w:p w14:paraId="327EDD32"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O registro previsto na </w:t>
      </w:r>
      <w:hyperlink r:id="rId40" w:anchor="art107" w:tooltip="https://www.planalto.gov.br/ccivil_03/leis/l5764.htm#art107" w:history="1">
        <w:r w:rsidRPr="000D79B8">
          <w:rPr>
            <w:rStyle w:val="Hyperlink"/>
            <w:rFonts w:ascii="Times New Roman" w:hAnsi="Times New Roman" w:cs="Times New Roman"/>
            <w:sz w:val="24"/>
            <w:szCs w:val="24"/>
          </w:rPr>
          <w:t>Lei n. 5.764, de 1971, art. 107</w:t>
        </w:r>
      </w:hyperlink>
      <w:r w:rsidRPr="000D79B8">
        <w:rPr>
          <w:rFonts w:ascii="Times New Roman" w:hAnsi="Times New Roman" w:cs="Times New Roman"/>
          <w:sz w:val="24"/>
          <w:szCs w:val="24"/>
        </w:rPr>
        <w:t>;</w:t>
      </w:r>
    </w:p>
    <w:p w14:paraId="47F8A43A"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 A comprovação de integração das respectivas quotas-partes por parte dos cooperados que executarão o contrato; e</w:t>
      </w:r>
    </w:p>
    <w:p w14:paraId="28C10F7A"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17B7CF6" w14:textId="77777777" w:rsidR="00D14701" w:rsidRPr="000D79B8" w:rsidRDefault="00477D65">
      <w:pPr>
        <w:pStyle w:val="Nivel3"/>
        <w:rPr>
          <w:rFonts w:ascii="Times New Roman" w:hAnsi="Times New Roman" w:cs="Times New Roman"/>
          <w:sz w:val="24"/>
          <w:szCs w:val="24"/>
        </w:rPr>
      </w:pPr>
      <w:r w:rsidRPr="000D79B8">
        <w:rPr>
          <w:rFonts w:ascii="Times New Roman" w:hAnsi="Times New Roman" w:cs="Times New Roman"/>
          <w:sz w:val="24"/>
          <w:szCs w:val="24"/>
        </w:rPr>
        <w:t xml:space="preserve">A última auditoria contábil-financeira da cooperativa, conforme dispõe o </w:t>
      </w:r>
      <w:hyperlink r:id="rId41" w:anchor="art112" w:tooltip="https://www.planalto.gov.br/ccivil_03/leis/l5764.htm#art112" w:history="1">
        <w:r w:rsidRPr="000D79B8">
          <w:rPr>
            <w:rStyle w:val="Hyperlink"/>
            <w:rFonts w:ascii="Times New Roman" w:hAnsi="Times New Roman" w:cs="Times New Roman"/>
            <w:sz w:val="24"/>
            <w:szCs w:val="24"/>
          </w:rPr>
          <w:t>art. 112 da Lei n. 5.764, de 1971</w:t>
        </w:r>
      </w:hyperlink>
      <w:r w:rsidRPr="000D79B8">
        <w:rPr>
          <w:rFonts w:ascii="Times New Roman" w:hAnsi="Times New Roman" w:cs="Times New Roman"/>
          <w:sz w:val="24"/>
          <w:szCs w:val="24"/>
        </w:rPr>
        <w:t>, ou uma declaração, sob as penas da lei, de que tal auditoria não foi exigida pelo órgão fiscalizador.</w:t>
      </w:r>
    </w:p>
    <w:p w14:paraId="4975A157" w14:textId="77777777" w:rsidR="00D14701" w:rsidRPr="000D79B8" w:rsidRDefault="00477D65">
      <w:pPr>
        <w:pStyle w:val="Nivel01"/>
        <w:rPr>
          <w:rFonts w:ascii="Times New Roman" w:hAnsi="Times New Roman" w:cs="Times New Roman"/>
          <w:sz w:val="24"/>
          <w:szCs w:val="24"/>
        </w:rPr>
      </w:pPr>
      <w:commentRangeStart w:id="33"/>
      <w:r w:rsidRPr="000D79B8">
        <w:rPr>
          <w:rFonts w:ascii="Times New Roman" w:hAnsi="Times New Roman" w:cs="Times New Roman"/>
          <w:sz w:val="24"/>
          <w:szCs w:val="24"/>
        </w:rPr>
        <w:t>ESTIMATIVAS DO VALOR DA CONTRATAÇÃO</w:t>
      </w:r>
      <w:commentRangeEnd w:id="33"/>
      <w:r w:rsidRPr="000D79B8">
        <w:rPr>
          <w:rFonts w:ascii="Times New Roman" w:hAnsi="Times New Roman" w:cs="Times New Roman"/>
          <w:sz w:val="24"/>
          <w:szCs w:val="24"/>
        </w:rPr>
        <w:commentReference w:id="33"/>
      </w:r>
    </w:p>
    <w:p w14:paraId="6DA0FBE8" w14:textId="20FD7191" w:rsidR="00D14701" w:rsidRPr="000D79B8" w:rsidRDefault="00477D65">
      <w:pPr>
        <w:pStyle w:val="Nvel2-Red"/>
        <w:rPr>
          <w:rFonts w:ascii="Times New Roman" w:hAnsi="Times New Roman" w:cs="Times New Roman"/>
          <w:bCs/>
          <w:i w:val="0"/>
          <w:iCs w:val="0"/>
          <w:color w:val="auto"/>
          <w:sz w:val="24"/>
          <w:szCs w:val="24"/>
        </w:rPr>
      </w:pPr>
      <w:r w:rsidRPr="000D79B8">
        <w:rPr>
          <w:rFonts w:ascii="Times New Roman" w:hAnsi="Times New Roman" w:cs="Times New Roman"/>
          <w:i w:val="0"/>
          <w:iCs w:val="0"/>
          <w:color w:val="auto"/>
          <w:sz w:val="24"/>
          <w:szCs w:val="24"/>
        </w:rPr>
        <w:t xml:space="preserve">O custo estimado total da contratação é de R$ </w:t>
      </w:r>
      <w:r w:rsidR="00D52A75" w:rsidRPr="000D79B8">
        <w:rPr>
          <w:rFonts w:ascii="Times New Roman" w:hAnsi="Times New Roman" w:cs="Times New Roman"/>
          <w:i w:val="0"/>
          <w:iCs w:val="0"/>
          <w:color w:val="auto"/>
          <w:sz w:val="24"/>
          <w:szCs w:val="24"/>
        </w:rPr>
        <w:t>976.725,24</w:t>
      </w:r>
      <w:r w:rsidRPr="000D79B8">
        <w:rPr>
          <w:rFonts w:ascii="Times New Roman" w:hAnsi="Times New Roman" w:cs="Times New Roman"/>
          <w:i w:val="0"/>
          <w:iCs w:val="0"/>
          <w:color w:val="auto"/>
          <w:sz w:val="24"/>
          <w:szCs w:val="24"/>
        </w:rPr>
        <w:t xml:space="preserve"> (</w:t>
      </w:r>
      <w:r w:rsidR="00D52A75" w:rsidRPr="000D79B8">
        <w:rPr>
          <w:rFonts w:ascii="Times New Roman" w:hAnsi="Times New Roman" w:cs="Times New Roman"/>
          <w:i w:val="0"/>
          <w:iCs w:val="0"/>
          <w:color w:val="auto"/>
          <w:sz w:val="24"/>
          <w:szCs w:val="24"/>
        </w:rPr>
        <w:t>novecentos e setenta e seis mil, setecentos e vinte e cinco reais e vinte e quatro centavos</w:t>
      </w:r>
      <w:r w:rsidRPr="000D79B8">
        <w:rPr>
          <w:rFonts w:ascii="Times New Roman" w:hAnsi="Times New Roman" w:cs="Times New Roman"/>
          <w:i w:val="0"/>
          <w:iCs w:val="0"/>
          <w:color w:val="auto"/>
          <w:sz w:val="24"/>
          <w:szCs w:val="24"/>
        </w:rPr>
        <w:t>).</w:t>
      </w:r>
    </w:p>
    <w:p w14:paraId="2934775D" w14:textId="77777777" w:rsidR="00D14701" w:rsidRPr="000D79B8" w:rsidRDefault="00477D65">
      <w:pPr>
        <w:pStyle w:val="Nvel2-Red"/>
        <w:rPr>
          <w:rFonts w:ascii="Times New Roman" w:hAnsi="Times New Roman" w:cs="Times New Roman"/>
          <w:i w:val="0"/>
          <w:iCs w:val="0"/>
          <w:color w:val="auto"/>
          <w:sz w:val="24"/>
          <w:szCs w:val="24"/>
        </w:rPr>
      </w:pPr>
      <w:r w:rsidRPr="000D79B8">
        <w:rPr>
          <w:rFonts w:ascii="Times New Roman" w:eastAsia="MS Mincho" w:hAnsi="Times New Roman" w:cs="Times New Roman"/>
          <w:i w:val="0"/>
          <w:iCs w:val="0"/>
          <w:color w:val="auto"/>
          <w:sz w:val="24"/>
          <w:szCs w:val="24"/>
        </w:rPr>
        <w:t xml:space="preserve">Em caso de licitação para Registro de Preços, os preços </w:t>
      </w:r>
      <w:r w:rsidRPr="000D79B8">
        <w:rPr>
          <w:rFonts w:ascii="Times New Roman" w:hAnsi="Times New Roman" w:cs="Times New Roman"/>
          <w:i w:val="0"/>
          <w:iCs w:val="0"/>
          <w:color w:val="auto"/>
          <w:sz w:val="24"/>
          <w:szCs w:val="24"/>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5CD3E29B" w14:textId="77777777" w:rsidR="00D14701" w:rsidRPr="000D79B8" w:rsidRDefault="00477D65">
      <w:pPr>
        <w:pStyle w:val="Nvel3-R"/>
        <w:rPr>
          <w:rStyle w:val="Hyperlink"/>
          <w:rFonts w:ascii="Times New Roman" w:eastAsia="MS Mincho" w:hAnsi="Times New Roman" w:cs="Times New Roman"/>
          <w:i w:val="0"/>
          <w:iCs w:val="0"/>
          <w:color w:val="000000"/>
          <w:sz w:val="24"/>
          <w:szCs w:val="24"/>
          <w:u w:val="none"/>
        </w:rPr>
      </w:pPr>
      <w:r w:rsidRPr="000D79B8">
        <w:rPr>
          <w:rFonts w:ascii="Times New Roman" w:hAnsi="Times New Roman" w:cs="Times New Roman"/>
          <w:i w:val="0"/>
          <w:iCs w:val="0"/>
          <w:color w:val="000000" w:themeColor="text1"/>
          <w:sz w:val="24"/>
          <w:szCs w:val="24"/>
        </w:rPr>
        <w:lastRenderedPageBreak/>
        <w:t>em caso de força maior, caso fortuito ou fato do príncipe ou em decorrência de fatos imprevisíveis ou previsíveis de consequências incalculáveis, que inviabilizem a execução da ata tal como pactuada, nos termos do disposto na a</w:t>
      </w:r>
      <w:hyperlink r:id="rId42" w:anchor="art124iid" w:tooltip="http://www.planalto.gov.br/ccivil_03/_Ato2019-2022/2021/Lei/L14133.htm#art124iid" w:history="1">
        <w:r w:rsidRPr="000D79B8">
          <w:rPr>
            <w:rStyle w:val="Hyperlink"/>
            <w:rFonts w:ascii="Times New Roman" w:eastAsia="Arial" w:hAnsi="Times New Roman" w:cs="Times New Roman"/>
            <w:i w:val="0"/>
            <w:iCs w:val="0"/>
            <w:color w:val="000000" w:themeColor="text1"/>
            <w:sz w:val="24"/>
            <w:szCs w:val="24"/>
          </w:rPr>
          <w:t>línea “d” do inciso II do capu</w:t>
        </w:r>
        <w:r w:rsidRPr="000D79B8">
          <w:rPr>
            <w:rStyle w:val="Hyperlink"/>
            <w:rFonts w:ascii="Times New Roman" w:eastAsia="Arial" w:hAnsi="Times New Roman" w:cs="Times New Roman"/>
            <w:b/>
            <w:bCs/>
            <w:i w:val="0"/>
            <w:iCs w:val="0"/>
            <w:color w:val="000000" w:themeColor="text1"/>
            <w:sz w:val="24"/>
            <w:szCs w:val="24"/>
          </w:rPr>
          <w:t>t</w:t>
        </w:r>
        <w:r w:rsidRPr="000D79B8">
          <w:rPr>
            <w:rStyle w:val="Hyperlink"/>
            <w:rFonts w:ascii="Times New Roman" w:eastAsia="Arial" w:hAnsi="Times New Roman" w:cs="Times New Roman"/>
            <w:i w:val="0"/>
            <w:iCs w:val="0"/>
            <w:color w:val="000000" w:themeColor="text1"/>
            <w:sz w:val="24"/>
            <w:szCs w:val="24"/>
          </w:rPr>
          <w:t xml:space="preserve"> do art. 124 da Lei nº 14.133, de 2021;</w:t>
        </w:r>
      </w:hyperlink>
    </w:p>
    <w:p w14:paraId="47A93A83" w14:textId="77777777" w:rsidR="00D14701" w:rsidRPr="000D79B8" w:rsidRDefault="00477D65">
      <w:pPr>
        <w:pStyle w:val="Nvel3-R"/>
        <w:rPr>
          <w:rFonts w:ascii="Times New Roman" w:eastAsia="MS Mincho"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em caso de criação, alteração ou extinção de quaisquer tributos ou encargos legais ou superveniência de disposições legais, com comprovada repercussão sobre os preços registrados;</w:t>
      </w:r>
    </w:p>
    <w:p w14:paraId="42368423" w14:textId="77777777" w:rsidR="00D14701" w:rsidRPr="000D79B8" w:rsidRDefault="00477D65">
      <w:pPr>
        <w:pStyle w:val="Nvel3-R"/>
        <w:rPr>
          <w:rFonts w:ascii="Times New Roman" w:eastAsia="MS Mincho"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serão reajustados os preços registrados, respeitada a contagem da anualidade e o índice previsto para a contratação; ou</w:t>
      </w:r>
    </w:p>
    <w:p w14:paraId="407816AB" w14:textId="77777777" w:rsidR="00D14701" w:rsidRPr="00442747" w:rsidRDefault="00477D65">
      <w:pPr>
        <w:pStyle w:val="Nvel3-R"/>
        <w:rPr>
          <w:rFonts w:ascii="Times New Roman" w:eastAsia="MS Mincho" w:hAnsi="Times New Roman" w:cs="Times New Roman"/>
          <w:i w:val="0"/>
          <w:iCs w:val="0"/>
          <w:color w:val="000000"/>
          <w:sz w:val="24"/>
          <w:szCs w:val="24"/>
        </w:rPr>
      </w:pPr>
      <w:r w:rsidRPr="000D79B8">
        <w:rPr>
          <w:rFonts w:ascii="Times New Roman" w:hAnsi="Times New Roman" w:cs="Times New Roman"/>
          <w:i w:val="0"/>
          <w:iCs w:val="0"/>
          <w:color w:val="000000" w:themeColor="text1"/>
          <w:sz w:val="24"/>
          <w:szCs w:val="24"/>
        </w:rPr>
        <w:t>poderão ser repactuados, a pedido do interessado, conforme critérios definidos para a contratação.</w:t>
      </w:r>
    </w:p>
    <w:p w14:paraId="2883D3D5" w14:textId="77777777" w:rsidR="00442747" w:rsidRPr="000D79B8" w:rsidRDefault="00442747">
      <w:pPr>
        <w:pStyle w:val="Nvel3-R"/>
        <w:rPr>
          <w:rFonts w:ascii="Times New Roman" w:eastAsia="MS Mincho" w:hAnsi="Times New Roman" w:cs="Times New Roman"/>
          <w:i w:val="0"/>
          <w:iCs w:val="0"/>
          <w:color w:val="000000"/>
          <w:sz w:val="24"/>
          <w:szCs w:val="24"/>
        </w:rPr>
      </w:pPr>
    </w:p>
    <w:p w14:paraId="5A0A83CC" w14:textId="77777777" w:rsidR="00D14701" w:rsidRPr="000D79B8" w:rsidRDefault="00477D65">
      <w:pPr>
        <w:pStyle w:val="Nivel01"/>
        <w:rPr>
          <w:rFonts w:ascii="Times New Roman" w:hAnsi="Times New Roman" w:cs="Times New Roman"/>
          <w:sz w:val="24"/>
          <w:szCs w:val="24"/>
        </w:rPr>
      </w:pPr>
      <w:r w:rsidRPr="000D79B8">
        <w:rPr>
          <w:rFonts w:ascii="Times New Roman" w:hAnsi="Times New Roman" w:cs="Times New Roman"/>
          <w:sz w:val="24"/>
          <w:szCs w:val="24"/>
        </w:rPr>
        <w:t>ADEQUAÇÃO ORÇAMENTÁRIA</w:t>
      </w:r>
    </w:p>
    <w:p w14:paraId="606F159B"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As despesas decorrentes da presente contratação correrão à conta de recursos específicos consignados no Orçamento Geral da União.</w:t>
      </w:r>
    </w:p>
    <w:p w14:paraId="209CB5C0" w14:textId="77777777" w:rsidR="00D14701" w:rsidRPr="000D79B8" w:rsidRDefault="00477D65">
      <w:pPr>
        <w:pStyle w:val="Nivel2"/>
        <w:rPr>
          <w:rFonts w:ascii="Times New Roman" w:hAnsi="Times New Roman" w:cs="Times New Roman"/>
          <w:sz w:val="24"/>
          <w:szCs w:val="24"/>
        </w:rPr>
      </w:pPr>
      <w:r w:rsidRPr="000D79B8">
        <w:rPr>
          <w:rFonts w:ascii="Times New Roman" w:hAnsi="Times New Roman" w:cs="Times New Roman"/>
          <w:sz w:val="24"/>
          <w:szCs w:val="24"/>
        </w:rPr>
        <w:t>A contratação será atendida pela seguinte dotação:</w:t>
      </w:r>
    </w:p>
    <w:p w14:paraId="36F54371" w14:textId="77777777" w:rsidR="00D14701" w:rsidRPr="000D79B8" w:rsidRDefault="00477D65">
      <w:pPr>
        <w:pStyle w:val="PargrafodaLista"/>
        <w:numPr>
          <w:ilvl w:val="0"/>
          <w:numId w:val="15"/>
        </w:numPr>
        <w:spacing w:before="120" w:after="120" w:line="276" w:lineRule="auto"/>
        <w:ind w:left="284" w:firstLine="0"/>
        <w:jc w:val="both"/>
        <w:rPr>
          <w:rFonts w:ascii="Times New Roman" w:eastAsia="Arial" w:hAnsi="Times New Roman" w:cs="Times New Roman"/>
        </w:rPr>
      </w:pPr>
      <w:r w:rsidRPr="000D79B8">
        <w:rPr>
          <w:rFonts w:ascii="Times New Roman" w:eastAsia="Arial" w:hAnsi="Times New Roman" w:cs="Times New Roman"/>
        </w:rPr>
        <w:t>Gestão/Unidade: [...];</w:t>
      </w:r>
    </w:p>
    <w:p w14:paraId="7A2924D5" w14:textId="77777777" w:rsidR="00D14701" w:rsidRPr="000D79B8" w:rsidRDefault="00477D65">
      <w:pPr>
        <w:pStyle w:val="PargrafodaLista"/>
        <w:numPr>
          <w:ilvl w:val="0"/>
          <w:numId w:val="15"/>
        </w:numPr>
        <w:spacing w:before="120" w:after="120" w:line="276" w:lineRule="auto"/>
        <w:ind w:left="284" w:firstLine="0"/>
        <w:jc w:val="both"/>
        <w:rPr>
          <w:rFonts w:ascii="Times New Roman" w:eastAsia="Arial" w:hAnsi="Times New Roman" w:cs="Times New Roman"/>
        </w:rPr>
      </w:pPr>
      <w:r w:rsidRPr="000D79B8">
        <w:rPr>
          <w:rFonts w:ascii="Times New Roman" w:eastAsia="Arial" w:hAnsi="Times New Roman" w:cs="Times New Roman"/>
        </w:rPr>
        <w:t>Fonte de Recursos: [...];</w:t>
      </w:r>
    </w:p>
    <w:p w14:paraId="1776F6F8" w14:textId="77777777" w:rsidR="00D14701" w:rsidRPr="000D79B8" w:rsidRDefault="00477D65">
      <w:pPr>
        <w:pStyle w:val="PargrafodaLista"/>
        <w:numPr>
          <w:ilvl w:val="0"/>
          <w:numId w:val="15"/>
        </w:numPr>
        <w:spacing w:before="120" w:after="120" w:line="276" w:lineRule="auto"/>
        <w:ind w:left="284" w:firstLine="0"/>
        <w:jc w:val="both"/>
        <w:rPr>
          <w:rFonts w:ascii="Times New Roman" w:eastAsia="Arial" w:hAnsi="Times New Roman" w:cs="Times New Roman"/>
        </w:rPr>
      </w:pPr>
      <w:r w:rsidRPr="000D79B8">
        <w:rPr>
          <w:rFonts w:ascii="Times New Roman" w:eastAsia="Arial" w:hAnsi="Times New Roman" w:cs="Times New Roman"/>
        </w:rPr>
        <w:t>Programa de Trabalho: [...];</w:t>
      </w:r>
    </w:p>
    <w:p w14:paraId="49ED37AC" w14:textId="77777777" w:rsidR="00D14701" w:rsidRPr="000D79B8" w:rsidRDefault="00477D65">
      <w:pPr>
        <w:pStyle w:val="PargrafodaLista"/>
        <w:numPr>
          <w:ilvl w:val="0"/>
          <w:numId w:val="15"/>
        </w:numPr>
        <w:spacing w:before="120" w:after="120" w:line="276" w:lineRule="auto"/>
        <w:ind w:left="284" w:firstLine="0"/>
        <w:jc w:val="both"/>
        <w:rPr>
          <w:rFonts w:ascii="Times New Roman" w:eastAsia="Arial" w:hAnsi="Times New Roman" w:cs="Times New Roman"/>
        </w:rPr>
      </w:pPr>
      <w:r w:rsidRPr="000D79B8">
        <w:rPr>
          <w:rFonts w:ascii="Times New Roman" w:eastAsia="Arial" w:hAnsi="Times New Roman" w:cs="Times New Roman"/>
        </w:rPr>
        <w:t>Elemento de Despesa: [...];</w:t>
      </w:r>
    </w:p>
    <w:p w14:paraId="2C7DA870" w14:textId="77777777" w:rsidR="00D14701" w:rsidRPr="000D79B8" w:rsidRDefault="00477D65">
      <w:pPr>
        <w:pStyle w:val="PargrafodaLista"/>
        <w:numPr>
          <w:ilvl w:val="0"/>
          <w:numId w:val="15"/>
        </w:numPr>
        <w:spacing w:before="120" w:after="120" w:line="276" w:lineRule="auto"/>
        <w:ind w:left="284" w:firstLine="0"/>
        <w:jc w:val="both"/>
        <w:rPr>
          <w:rFonts w:ascii="Times New Roman" w:eastAsia="MS Mincho" w:hAnsi="Times New Roman" w:cs="Times New Roman"/>
        </w:rPr>
      </w:pPr>
      <w:r w:rsidRPr="000D79B8">
        <w:rPr>
          <w:rFonts w:ascii="Times New Roman" w:eastAsia="Arial" w:hAnsi="Times New Roman" w:cs="Times New Roman"/>
        </w:rPr>
        <w:t>Plano Interno: [...];</w:t>
      </w:r>
    </w:p>
    <w:p w14:paraId="6BB39A31" w14:textId="77777777" w:rsidR="00D14701" w:rsidRPr="000D79B8" w:rsidRDefault="00477D65">
      <w:pPr>
        <w:pStyle w:val="Nvel2-Red"/>
        <w:rPr>
          <w:rFonts w:ascii="Times New Roman" w:hAnsi="Times New Roman" w:cs="Times New Roman"/>
          <w:i w:val="0"/>
          <w:iCs w:val="0"/>
          <w:color w:val="000000"/>
          <w:sz w:val="24"/>
          <w:szCs w:val="24"/>
        </w:rPr>
      </w:pPr>
      <w:commentRangeStart w:id="34"/>
      <w:r w:rsidRPr="000D79B8">
        <w:rPr>
          <w:rFonts w:ascii="Times New Roman" w:hAnsi="Times New Roman" w:cs="Times New Roman"/>
          <w:i w:val="0"/>
          <w:iCs w:val="0"/>
          <w:color w:val="000000" w:themeColor="text1"/>
          <w:sz w:val="24"/>
          <w:szCs w:val="24"/>
        </w:rPr>
        <w:t>A dotação relativa aos exercícios financeiros subsequentes será indicada após aprovação da Lei Orçamentária respectiva e liberação dos créditos correspondentes, mediante apostilamento.</w:t>
      </w:r>
      <w:commentRangeEnd w:id="34"/>
      <w:r w:rsidRPr="000D79B8">
        <w:rPr>
          <w:rFonts w:ascii="Times New Roman" w:hAnsi="Times New Roman" w:cs="Times New Roman"/>
          <w:i w:val="0"/>
          <w:iCs w:val="0"/>
          <w:sz w:val="24"/>
          <w:szCs w:val="24"/>
        </w:rPr>
        <w:commentReference w:id="34"/>
      </w:r>
    </w:p>
    <w:p w14:paraId="6031BC08" w14:textId="77777777" w:rsidR="00D14701" w:rsidRPr="000D79B8" w:rsidRDefault="00D14701">
      <w:pPr>
        <w:spacing w:after="120"/>
        <w:ind w:right="-15"/>
        <w:jc w:val="center"/>
        <w:rPr>
          <w:rFonts w:ascii="Times New Roman" w:hAnsi="Times New Roman" w:cs="Times New Roman"/>
        </w:rPr>
      </w:pPr>
    </w:p>
    <w:p w14:paraId="6F077178" w14:textId="14D45226" w:rsidR="00D14701" w:rsidRPr="000D79B8" w:rsidRDefault="00477D65">
      <w:pPr>
        <w:spacing w:after="120"/>
        <w:ind w:right="-15"/>
        <w:jc w:val="center"/>
        <w:rPr>
          <w:rFonts w:ascii="Times New Roman" w:hAnsi="Times New Roman" w:cs="Times New Roman"/>
        </w:rPr>
      </w:pPr>
      <w:r w:rsidRPr="000D79B8">
        <w:rPr>
          <w:rFonts w:ascii="Times New Roman" w:hAnsi="Times New Roman" w:cs="Times New Roman"/>
        </w:rPr>
        <w:t>Paracambi-RJ, 2</w:t>
      </w:r>
      <w:r w:rsidR="00D52A75" w:rsidRPr="000D79B8">
        <w:rPr>
          <w:rFonts w:ascii="Times New Roman" w:hAnsi="Times New Roman" w:cs="Times New Roman"/>
        </w:rPr>
        <w:t>4</w:t>
      </w:r>
      <w:r w:rsidRPr="000D79B8">
        <w:rPr>
          <w:rFonts w:ascii="Times New Roman" w:hAnsi="Times New Roman" w:cs="Times New Roman"/>
        </w:rPr>
        <w:t xml:space="preserve"> de ju</w:t>
      </w:r>
      <w:r w:rsidR="00D52A75" w:rsidRPr="000D79B8">
        <w:rPr>
          <w:rFonts w:ascii="Times New Roman" w:hAnsi="Times New Roman" w:cs="Times New Roman"/>
        </w:rPr>
        <w:t>l</w:t>
      </w:r>
      <w:r w:rsidRPr="000D79B8">
        <w:rPr>
          <w:rFonts w:ascii="Times New Roman" w:hAnsi="Times New Roman" w:cs="Times New Roman"/>
        </w:rPr>
        <w:t>ho de 2023</w:t>
      </w:r>
    </w:p>
    <w:p w14:paraId="0B9909D9" w14:textId="77777777" w:rsidR="00D14701" w:rsidRPr="000D79B8" w:rsidRDefault="00D14701">
      <w:pPr>
        <w:pStyle w:val="Nivel2"/>
        <w:numPr>
          <w:ilvl w:val="0"/>
          <w:numId w:val="0"/>
        </w:numPr>
        <w:rPr>
          <w:rFonts w:ascii="Times New Roman" w:hAnsi="Times New Roman" w:cs="Times New Roman"/>
          <w:sz w:val="24"/>
          <w:szCs w:val="24"/>
        </w:rPr>
      </w:pPr>
    </w:p>
    <w:p w14:paraId="091B8A0D" w14:textId="77777777" w:rsidR="00D14701" w:rsidRPr="000D79B8" w:rsidRDefault="00D14701">
      <w:pPr>
        <w:pStyle w:val="Nivel2"/>
        <w:numPr>
          <w:ilvl w:val="0"/>
          <w:numId w:val="0"/>
        </w:numPr>
        <w:rPr>
          <w:rFonts w:ascii="Times New Roman" w:hAnsi="Times New Roman" w:cs="Times New Roman"/>
          <w:sz w:val="24"/>
          <w:szCs w:val="24"/>
        </w:rPr>
      </w:pPr>
    </w:p>
    <w:p w14:paraId="008BBB64" w14:textId="77777777" w:rsidR="00D14701" w:rsidRPr="000D79B8" w:rsidRDefault="00D14701">
      <w:pPr>
        <w:spacing w:after="120"/>
        <w:ind w:right="-15"/>
        <w:jc w:val="center"/>
        <w:rPr>
          <w:rFonts w:ascii="Times New Roman" w:hAnsi="Times New Roman" w:cs="Times New Roman"/>
        </w:rPr>
      </w:pPr>
    </w:p>
    <w:p w14:paraId="0BA09451" w14:textId="77777777" w:rsidR="00D14701" w:rsidRPr="000D79B8" w:rsidRDefault="00477D65">
      <w:pPr>
        <w:jc w:val="center"/>
        <w:rPr>
          <w:rFonts w:ascii="Times New Roman" w:hAnsi="Times New Roman" w:cs="Times New Roman"/>
        </w:rPr>
      </w:pPr>
      <w:r w:rsidRPr="000D79B8">
        <w:rPr>
          <w:rFonts w:ascii="Times New Roman" w:hAnsi="Times New Roman" w:cs="Times New Roman"/>
          <w:b/>
          <w:bCs/>
          <w:color w:val="000000"/>
        </w:rPr>
        <w:t>MARCIO ALEXANDRE SOUTO DE OLIVEIRA – 1° TEN</w:t>
      </w:r>
    </w:p>
    <w:p w14:paraId="2A66A89E" w14:textId="77777777" w:rsidR="00D14701" w:rsidRPr="000D79B8" w:rsidRDefault="00477D65">
      <w:pPr>
        <w:jc w:val="center"/>
        <w:rPr>
          <w:rFonts w:ascii="Times New Roman" w:hAnsi="Times New Roman" w:cs="Times New Roman"/>
        </w:rPr>
      </w:pPr>
      <w:r w:rsidRPr="000D79B8">
        <w:rPr>
          <w:rFonts w:ascii="Times New Roman" w:hAnsi="Times New Roman" w:cs="Times New Roman"/>
          <w:color w:val="000000"/>
        </w:rPr>
        <w:t>Chefe do 2º Seção</w:t>
      </w:r>
    </w:p>
    <w:p w14:paraId="0785BEA9" w14:textId="77777777" w:rsidR="00D14701" w:rsidRDefault="00D14701">
      <w:pPr>
        <w:spacing w:after="120"/>
        <w:ind w:right="-15"/>
        <w:jc w:val="center"/>
        <w:rPr>
          <w:rFonts w:ascii="Times New Roman" w:hAnsi="Times New Roman" w:cs="Times New Roman"/>
        </w:rPr>
      </w:pPr>
    </w:p>
    <w:p w14:paraId="2DF2BC9F" w14:textId="77777777" w:rsidR="00442747" w:rsidRDefault="00442747">
      <w:pPr>
        <w:spacing w:after="120"/>
        <w:ind w:right="-15"/>
        <w:jc w:val="center"/>
        <w:rPr>
          <w:rFonts w:ascii="Times New Roman" w:hAnsi="Times New Roman" w:cs="Times New Roman"/>
        </w:rPr>
      </w:pPr>
    </w:p>
    <w:p w14:paraId="745B6810" w14:textId="77777777" w:rsidR="00442747" w:rsidRDefault="00442747">
      <w:pPr>
        <w:spacing w:after="120"/>
        <w:ind w:right="-15"/>
        <w:jc w:val="center"/>
        <w:rPr>
          <w:rFonts w:ascii="Times New Roman" w:hAnsi="Times New Roman" w:cs="Times New Roman"/>
        </w:rPr>
      </w:pPr>
    </w:p>
    <w:p w14:paraId="2941D699" w14:textId="77777777" w:rsidR="00442747" w:rsidRDefault="00442747">
      <w:pPr>
        <w:spacing w:after="120"/>
        <w:ind w:right="-15"/>
        <w:jc w:val="center"/>
        <w:rPr>
          <w:rFonts w:ascii="Times New Roman" w:hAnsi="Times New Roman" w:cs="Times New Roman"/>
        </w:rPr>
      </w:pPr>
    </w:p>
    <w:p w14:paraId="6CAC3C10" w14:textId="77777777" w:rsidR="00442747" w:rsidRDefault="00442747">
      <w:pPr>
        <w:spacing w:after="120"/>
        <w:ind w:right="-15"/>
        <w:jc w:val="center"/>
        <w:rPr>
          <w:rFonts w:ascii="Times New Roman" w:hAnsi="Times New Roman" w:cs="Times New Roman"/>
        </w:rPr>
      </w:pPr>
    </w:p>
    <w:p w14:paraId="785C14AE" w14:textId="77777777" w:rsidR="00442747" w:rsidRPr="000D79B8" w:rsidRDefault="00442747">
      <w:pPr>
        <w:spacing w:after="120"/>
        <w:ind w:right="-15"/>
        <w:jc w:val="center"/>
        <w:rPr>
          <w:rFonts w:ascii="Times New Roman" w:hAnsi="Times New Roman" w:cs="Times New Roman"/>
        </w:rPr>
      </w:pPr>
    </w:p>
    <w:p w14:paraId="61DA0D58" w14:textId="77777777" w:rsidR="00D14701" w:rsidRPr="000D79B8" w:rsidRDefault="00477D65">
      <w:pPr>
        <w:spacing w:after="120" w:line="276" w:lineRule="auto"/>
        <w:ind w:left="360"/>
        <w:rPr>
          <w:rFonts w:ascii="Times New Roman" w:hAnsi="Times New Roman" w:cs="Times New Roman"/>
        </w:rPr>
      </w:pPr>
      <w:r w:rsidRPr="000D79B8">
        <w:rPr>
          <w:rFonts w:ascii="Times New Roman" w:hAnsi="Times New Roman" w:cs="Times New Roman"/>
        </w:rPr>
        <w:t>Aprovo o presente Termo de Referência:</w:t>
      </w:r>
    </w:p>
    <w:p w14:paraId="053ED6BE" w14:textId="77777777" w:rsidR="00D14701" w:rsidRPr="000D79B8" w:rsidRDefault="00D14701">
      <w:pPr>
        <w:spacing w:after="120" w:line="276" w:lineRule="auto"/>
        <w:ind w:left="360"/>
        <w:rPr>
          <w:rFonts w:ascii="Times New Roman" w:hAnsi="Times New Roman" w:cs="Times New Roman"/>
        </w:rPr>
      </w:pPr>
    </w:p>
    <w:p w14:paraId="2B12CF0D" w14:textId="77777777" w:rsidR="00870D39" w:rsidRPr="000D79B8" w:rsidRDefault="00870D39">
      <w:pPr>
        <w:spacing w:after="120" w:line="276" w:lineRule="auto"/>
        <w:rPr>
          <w:rFonts w:ascii="Times New Roman" w:hAnsi="Times New Roman" w:cs="Times New Roman"/>
        </w:rPr>
      </w:pPr>
    </w:p>
    <w:p w14:paraId="44412788" w14:textId="77777777" w:rsidR="00D14701" w:rsidRPr="000D79B8" w:rsidRDefault="00477D65">
      <w:pPr>
        <w:spacing w:line="276" w:lineRule="auto"/>
        <w:ind w:left="360"/>
        <w:jc w:val="center"/>
        <w:rPr>
          <w:rFonts w:ascii="Times New Roman" w:hAnsi="Times New Roman" w:cs="Times New Roman"/>
        </w:rPr>
      </w:pPr>
      <w:r w:rsidRPr="000D79B8">
        <w:rPr>
          <w:rFonts w:ascii="Times New Roman" w:hAnsi="Times New Roman" w:cs="Times New Roman"/>
          <w:b/>
        </w:rPr>
        <w:t>ANDERSON MENDES DIAS – T C</w:t>
      </w:r>
    </w:p>
    <w:p w14:paraId="1A07FE94" w14:textId="4687BC84" w:rsidR="00D14701" w:rsidRPr="000D79B8" w:rsidRDefault="00477D65" w:rsidP="00442747">
      <w:pPr>
        <w:spacing w:line="276" w:lineRule="auto"/>
        <w:ind w:left="360"/>
        <w:jc w:val="center"/>
        <w:rPr>
          <w:rFonts w:ascii="Times New Roman" w:hAnsi="Times New Roman" w:cs="Times New Roman"/>
        </w:rPr>
      </w:pPr>
      <w:r w:rsidRPr="000D79B8">
        <w:rPr>
          <w:rFonts w:ascii="Times New Roman" w:hAnsi="Times New Roman" w:cs="Times New Roman"/>
        </w:rPr>
        <w:t>Ordenador de Despesas do Depósito Central de Munição</w:t>
      </w:r>
    </w:p>
    <w:sectPr w:rsidR="00D14701" w:rsidRPr="000D79B8" w:rsidSect="00477D65">
      <w:headerReference w:type="default" r:id="rId43"/>
      <w:footerReference w:type="default" r:id="rId44"/>
      <w:pgSz w:w="11906" w:h="16838"/>
      <w:pgMar w:top="709"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00000081" w14:textId="00000081" w:rsidR="00D14701" w:rsidRDefault="00477D65">
      <w:r>
        <w:rPr>
          <w:rFonts w:ascii="Arial" w:eastAsia="Arial" w:hAnsi="Arial" w:cs="Arial"/>
          <w:sz w:val="22"/>
        </w:rPr>
        <w:t>Nota Explicativa 1: A tabela é meramente ilustrativa, podendo ser livremente alterada conforme o caso concreto.</w:t>
      </w:r>
    </w:p>
    <w:p w14:paraId="00000082" w14:textId="00000082" w:rsidR="00D14701" w:rsidRDefault="00477D65">
      <w:r>
        <w:rPr>
          <w:rFonts w:ascii="Arial" w:eastAsia="Arial" w:hAnsi="Arial" w:cs="Arial"/>
          <w:sz w:val="22"/>
        </w:rPr>
        <w:t>Nota Explicativa 2: A justificativa para o parcelamento ou não do objeto deve constar do Estudo Técnico Preliminar (art. 18, §1º, inciso VIII, da Lei nº 14.133, de 2021, e art. 9º, inciso VII, da Instrução Normativa SEGES nº 58, de 8 de agosto de 2022). As compras, como regra, devem atender ao parcelamento quando for tecnicamente viável e economicamente vantajoso (art. 40, inciso V, alínea b, da Lei nº 14.133, de 2021). Devem também ser observadas as regras do artigo 40, §§ 2º e 3º, da Lei nº 14.133, de 2021, que trata de aspectos a serem considerados na aplicação do princípio do parcelamento.</w:t>
      </w:r>
    </w:p>
    <w:p w14:paraId="00000083" w14:textId="00000083" w:rsidR="00D14701" w:rsidRDefault="00477D65">
      <w:r>
        <w:rPr>
          <w:rFonts w:ascii="Arial" w:eastAsia="Arial" w:hAnsi="Arial" w:cs="Arial"/>
          <w:sz w:val="22"/>
        </w:rPr>
        <w:t>Nota Explicativa 3: Em licitação ou itens de valor correspondente a até R$ 80.000,00 deve ser garantida a participação exclusiva de Microempresa e Empresa de Pequeno Porte (ME e EPP), conforme artigo 48, inciso I, da Lei Complementar nº 123, de 14 de dezembro de 2006, e artigo 6º do Decreto nº 8.538, de 06 de outubro de 2015).</w:t>
      </w:r>
    </w:p>
  </w:comment>
  <w:comment w:id="1" w:author="Autor" w:initials="A">
    <w:p w14:paraId="00000080" w14:textId="00000080" w:rsidR="00D14701" w:rsidRDefault="00477D65">
      <w:r>
        <w:rPr>
          <w:rFonts w:ascii="Arial" w:eastAsia="Arial" w:hAnsi="Arial" w:cs="Arial"/>
          <w:sz w:val="22"/>
        </w:rPr>
        <w:t>Nota Explicativa: Orientação Normativa AGU nº 54/2014: Compete ao agente ou setor técnico da administração declarar que o objeto licitatório é de natureza comum para efeito de utilização da modalidade pregão e definir se o objeto corresponde a obra ou serviço de engenharia, sendo atribuição do órgão jurídico analisar o devido enquadramento da modalidade licitatória aplicável</w:t>
      </w:r>
    </w:p>
  </w:comment>
  <w:comment w:id="2" w:author="Autor" w:initials="A">
    <w:p w14:paraId="0000007F" w14:textId="0000007F" w:rsidR="00D14701" w:rsidRDefault="00477D65">
      <w:r>
        <w:rPr>
          <w:rFonts w:ascii="Arial" w:eastAsia="Arial" w:hAnsi="Arial" w:cs="Arial"/>
          <w:sz w:val="22"/>
        </w:rPr>
        <w:t xml:space="preserve">Nota Explicativa: Vedação quanto à aquisição de itens de luxo - O artigo 20 da Lei nº 14.133, de 2021, estabelece que os itens de consumo deverão ser de qualidade comum, não superior à necessária para cumprir as finalidades às quais se destinam, vedada a aquisição de artigos de luxo. O Decreto nº 10.818, de 2021 regulamentou o tema, devendo as vedações nele estabelecidas serem respeitadas pelo administrador público. </w:t>
      </w:r>
    </w:p>
  </w:comment>
  <w:comment w:id="3" w:author="Autor" w:initials="A">
    <w:p w14:paraId="0000007E" w14:textId="0000007E" w:rsidR="00D14701" w:rsidRDefault="00477D65">
      <w:r>
        <w:rPr>
          <w:rFonts w:ascii="Arial" w:eastAsia="Arial" w:hAnsi="Arial" w:cs="Arial"/>
          <w:sz w:val="22"/>
        </w:rPr>
        <w:t>Nota Explicativa: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comment>
  <w:comment w:id="4" w:author="Autor" w:initials="A">
    <w:p w14:paraId="0000006E" w14:textId="0000006E" w:rsidR="00D14701" w:rsidRDefault="00477D65">
      <w:r>
        <w:rPr>
          <w:rFonts w:ascii="Arial" w:eastAsia="Arial" w:hAnsi="Arial" w:cs="Arial"/>
          <w:sz w:val="22"/>
        </w:rPr>
        <w:t xml:space="preserve">Nota Explicativa 1: Artigo 18, §1º, da Lei nº 14.133, de 2021, contém a seguinte redação: </w:t>
      </w:r>
    </w:p>
    <w:p w14:paraId="0000006F" w14:textId="0000006F" w:rsidR="00D14701" w:rsidRDefault="00477D65">
      <w:r>
        <w:rPr>
          <w:rFonts w:ascii="Arial" w:eastAsia="Arial" w:hAnsi="Arial" w:cs="Arial"/>
          <w:sz w:val="22"/>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 (...)VII - descrição da solução como um todo, inclusive das exigências relacionadas à manutenção e à assistência técnica, quando for o caso.</w:t>
      </w:r>
    </w:p>
    <w:p w14:paraId="00000070" w14:textId="00000070" w:rsidR="00D14701" w:rsidRDefault="00477D65">
      <w:r>
        <w:rPr>
          <w:rFonts w:ascii="Arial" w:eastAsia="Arial" w:hAnsi="Arial" w:cs="Arial"/>
          <w:sz w:val="22"/>
        </w:rPr>
        <w:t>Ver também Instrução Normativa SEGES/ME nº 58, de 08 de agosto de 2022 (ETP), art. 3º, inciso I e art. 6º.</w:t>
      </w:r>
    </w:p>
    <w:p w14:paraId="00000071" w14:textId="00000071" w:rsidR="00D14701" w:rsidRDefault="00477D65">
      <w:r>
        <w:rPr>
          <w:rFonts w:ascii="Arial" w:eastAsia="Arial" w:hAnsi="Arial" w:cs="Arial"/>
          <w:sz w:val="22"/>
        </w:rPr>
        <w:t>Caso haja a necessidade de modificação da descrição em relação à originalmente feita nos estudos técnicos preliminares, recomenda-se o dispositivo 3.1, para que passe a contemplar essa alteração.</w:t>
      </w:r>
    </w:p>
    <w:p w14:paraId="00000072" w14:textId="00000072" w:rsidR="00D14701" w:rsidRDefault="00477D65">
      <w:r>
        <w:rPr>
          <w:rFonts w:ascii="Arial" w:eastAsia="Arial" w:hAnsi="Arial" w:cs="Arial"/>
          <w:sz w:val="22"/>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14:paraId="00000073" w14:textId="00000073" w:rsidR="00D14701" w:rsidRDefault="00D14701"/>
    <w:p w14:paraId="00000074" w14:textId="00000074" w:rsidR="00D14701" w:rsidRDefault="00477D65">
      <w:r>
        <w:rPr>
          <w:rFonts w:ascii="Arial" w:eastAsia="Arial" w:hAnsi="Arial" w:cs="Arial"/>
          <w:sz w:val="22"/>
        </w:rPr>
        <w:t>Nota Explicativa 2: A Instrução Normativa SEGES/ME nº 73, de 30 de setembro de 2022,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14:paraId="00000075" w14:textId="00000075" w:rsidR="00D14701" w:rsidRDefault="00D14701"/>
    <w:p w14:paraId="00000076" w14:textId="00000076" w:rsidR="00D14701" w:rsidRDefault="00477D65">
      <w:r>
        <w:rPr>
          <w:rFonts w:ascii="Arial" w:eastAsia="Arial" w:hAnsi="Arial" w:cs="Arial"/>
          <w:sz w:val="22"/>
        </w:rPr>
        <w:t>Nota Explicativa 3: 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14:paraId="00000077" w14:textId="00000077" w:rsidR="00D14701" w:rsidRDefault="00D14701"/>
    <w:p w14:paraId="00000078" w14:textId="00000078" w:rsidR="00D14701" w:rsidRDefault="00477D65">
      <w:r>
        <w:rPr>
          <w:rFonts w:ascii="Arial" w:eastAsia="Arial" w:hAnsi="Arial" w:cs="Arial"/>
          <w:sz w:val="22"/>
        </w:rPr>
        <w:t>Nota Explicativa 4: O art. 6º, XXIII, “c”, da Lei nº 14.133, de 2021, e o art. 9º, IIII, da Instrução Normativa Seges/ME nº 81, de 2022,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Reitere-se: se a descrição contida no ETP não contiver esse ponto, deve ser complementada neste TR.</w:t>
      </w:r>
    </w:p>
    <w:p w14:paraId="00000079" w14:textId="00000079" w:rsidR="00D14701" w:rsidRDefault="00D14701"/>
    <w:p w14:paraId="0000007A" w14:textId="0000007A" w:rsidR="00D14701" w:rsidRDefault="00477D65">
      <w:r>
        <w:rPr>
          <w:rFonts w:ascii="Arial" w:eastAsia="Arial" w:hAnsi="Arial" w:cs="Arial"/>
          <w:sz w:val="22"/>
        </w:rPr>
        <w:t>Nota Explicativa 5: O art. 40, §1º, inciso I, da Lei nº 14.133, de 2021, e o 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 SEGES/ME nº 938, de 02 de fevereiro de 2022, instituiu o catálogo eletrônico de padronização, o qual deverá ser consultado para verificar se a contratação almejada está contemplada em seus termos. Em existindo padronização aprovada, ela deve ser considerada e eventual não-uso justificado nos autos.</w:t>
      </w:r>
    </w:p>
    <w:p w14:paraId="0000007B" w14:textId="0000007B" w:rsidR="00D14701" w:rsidRDefault="00D14701"/>
    <w:p w14:paraId="0000007C" w14:textId="0000007C" w:rsidR="00D14701" w:rsidRDefault="00477D65">
      <w:r>
        <w:rPr>
          <w:rFonts w:ascii="Arial" w:eastAsia="Arial" w:hAnsi="Arial" w:cs="Arial"/>
          <w:sz w:val="22"/>
        </w:rPr>
        <w:t>Nota Explicativa 6: 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Guia Nacional de Contratações Sustentáveis da AGU para tal fim. Caso o Estudo Técnico Preliminar seja silente ou insuficiente a esse respeito, recomenda-se abrir tópico específico nesta seção sobre a matéria.</w:t>
      </w:r>
    </w:p>
    <w:p w14:paraId="0000007D" w14:textId="0000007D" w:rsidR="00D14701" w:rsidRDefault="00477D65">
      <w:r>
        <w:rPr>
          <w:rFonts w:ascii="Arial" w:eastAsia="Arial" w:hAnsi="Arial" w:cs="Arial"/>
          <w:sz w:val="22"/>
        </w:rPr>
        <w:t>Vale registrar que a sustentabilidade pode incidir a partir de características do próprio objeto a ser contratado como também de outros modos, compilados no tópico “requisitos da contratação”, abaixo.</w:t>
      </w:r>
    </w:p>
  </w:comment>
  <w:comment w:id="5" w:author="Autor" w:initials="A">
    <w:p w14:paraId="0000006C" w14:textId="0000006C" w:rsidR="00D14701" w:rsidRDefault="00477D65">
      <w:r>
        <w:rPr>
          <w:rFonts w:ascii="Arial" w:eastAsia="Arial" w:hAnsi="Arial" w:cs="Arial"/>
          <w:sz w:val="22"/>
        </w:rPr>
        <w:t>Nota Explicativa 1: Os requisitos da contratação deverão ser registrados nos Sistemas TR DIGITAL E ETP DIGITAL, nos termos do art. 9º, inciso IV da IN Seges/ME nº 81, de 2022 e art. 9º, inciso II, da Instrução Normativa Seges/ME nº 58, de 2022.</w:t>
      </w:r>
    </w:p>
    <w:p w14:paraId="0000006D" w14:textId="0000006D" w:rsidR="00D14701" w:rsidRDefault="00477D65">
      <w:r>
        <w:rPr>
          <w:rFonts w:ascii="Arial" w:eastAsia="Arial" w:hAnsi="Arial" w:cs="Arial"/>
          <w:sz w:val="22"/>
        </w:rPr>
        <w:t>Nota Explicativa 2: 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de tópico específico neste TR (CRITÉRIOS DE SELEÇÃO DO FORNECEDOR) de modo que sua inclusão aqui seria redundante.</w:t>
      </w:r>
    </w:p>
  </w:comment>
  <w:comment w:id="6" w:author="Autor" w:initials="A">
    <w:p w14:paraId="00000056" w14:textId="00000056" w:rsidR="00D14701" w:rsidRDefault="00477D65">
      <w:r>
        <w:rPr>
          <w:rFonts w:ascii="Arial" w:eastAsia="Arial" w:hAnsi="Arial" w:cs="Arial"/>
          <w:sz w:val="22"/>
        </w:rPr>
        <w:t>Nota Explicativa 1: O Termo de Referência e os Estudos Técnicos Preliminares deverão estar alinhados com o Plano Diretor de Logística Sustentável, Plano de Contratações Anual além de outros instrumentos de planejamento da Administração, de acordo com o art. 7º da IN Seges/ME nº 81, de 2022, e art. 7º, da Instrução Normativa SegesME nº 58, de 2022.</w:t>
      </w:r>
    </w:p>
    <w:p w14:paraId="00000057" w14:textId="00000057" w:rsidR="00D14701" w:rsidRDefault="00D14701"/>
    <w:p w14:paraId="00000058" w14:textId="00000058" w:rsidR="00D14701" w:rsidRDefault="00477D65">
      <w:r>
        <w:rPr>
          <w:rFonts w:ascii="Arial" w:eastAsia="Arial" w:hAnsi="Arial" w:cs="Arial"/>
          <w:sz w:val="22"/>
        </w:rPr>
        <w:t>Nota Explicativa 2: Nos termos da Portaria SEGES/ME nº 8.678, de 19 de julho de 2021, o  Plano Diretor de Logística Sustentável é  instrumento de governança, vinculado ao planejamento estratégico do órgão ou entidade, ou instrumento equivalente, e às leis orçamentárias, que estabelece a estratégia das contratações e da logística no âmbito do órgão ou entidade, considerando objetivos e ações referentes a critérios e a práticas de sustentabilidade, nas dimensões econômica, social, ambiental e cultural.</w:t>
      </w:r>
    </w:p>
    <w:p w14:paraId="00000059" w14:textId="00000059" w:rsidR="00D14701" w:rsidRDefault="00477D65">
      <w:r>
        <w:rPr>
          <w:rFonts w:ascii="Arial" w:eastAsia="Arial" w:hAnsi="Arial" w:cs="Arial"/>
          <w:sz w:val="22"/>
        </w:rPr>
        <w:t>Destaque-se ainda que de acordo com o artigo 8º, §1º, III, da Portaria SEGES/ME nº 8.678, de 2021, o Plano Diretor de Logística Sustentável deverá nortear a elaboração dos anteprojetos, dos projetos básicos ou dos termos de referência de cada contratação.</w:t>
      </w:r>
    </w:p>
    <w:p w14:paraId="0000005A" w14:textId="0000005A" w:rsidR="00D14701" w:rsidRDefault="00D14701"/>
    <w:p w14:paraId="0000005B" w14:textId="0000005B" w:rsidR="00D14701" w:rsidRDefault="00477D65">
      <w:r>
        <w:rPr>
          <w:rFonts w:ascii="Arial" w:eastAsia="Arial" w:hAnsi="Arial" w:cs="Arial"/>
          <w:sz w:val="22"/>
        </w:rPr>
        <w:t>Nota Explicativa 3: Os preceitos do desenvolvimento sustentável devem ser observados na fase preparatória da licitação, em suas dimensões econômica, social, ambiental e cultural, no mínimo, com base nos planos de gestão de logística sustentável dos órgãos e das entidades, conforme prevê o parágrafo único do artigo 11 da Instrução Normativa SEGES/ME nº 73, de 2022.</w:t>
      </w:r>
    </w:p>
    <w:p w14:paraId="0000005C" w14:textId="0000005C" w:rsidR="00D14701" w:rsidRDefault="00D14701"/>
    <w:p w14:paraId="0000005D" w14:textId="0000005D" w:rsidR="00D14701" w:rsidRDefault="00477D65">
      <w:r>
        <w:rPr>
          <w:rFonts w:ascii="Arial" w:eastAsia="Arial" w:hAnsi="Arial" w:cs="Arial"/>
          <w:sz w:val="22"/>
        </w:rPr>
        <w:t xml:space="preserve">Nota Explicativa 4: Os critérios e práticas de sustentabilidade deverão ser registrados no sistema de ETP Digital, conforme previsão do Art. 9º, II, da Instrução Normativa SEGES/ME nº 58, de 2022. </w:t>
      </w:r>
    </w:p>
    <w:p w14:paraId="0000005E" w14:textId="0000005E" w:rsidR="00D14701" w:rsidRDefault="00477D65">
      <w:r>
        <w:rPr>
          <w:rFonts w:ascii="Arial" w:eastAsia="Arial" w:hAnsi="Arial" w:cs="Arial"/>
          <w:sz w:val="22"/>
        </w:rPr>
        <w:t xml:space="preserve">Soma-se a essa previsão, o Parecer n. 00001/2021/CNS/CGU/AGU, da Consultoria –Geral da União aprovado nos termos do DESPACHO n. 00525/2021/GAB/CGU/AGU (NUP: 00688.000723/2019-45) que consolidou o entendimento de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 </w:t>
      </w:r>
    </w:p>
    <w:p w14:paraId="0000005F" w14:textId="0000005F" w:rsidR="00D14701" w:rsidRDefault="00477D65">
      <w:r>
        <w:rPr>
          <w:rFonts w:ascii="Arial" w:eastAsia="Arial" w:hAnsi="Arial" w:cs="Arial"/>
          <w:sz w:val="22"/>
        </w:rPr>
        <w:t>Dessa forma, a sustentabilidade deve ser considerada pelo gestor público: a) na fase de planejamento da contratação, b) na elaboração das minutas, com consulta ao Guia, c) na fase de execução contratual e d) na adequada destinação ambiental dos resíduos decorrentes da aquisição. Ainda que não constante do termo de referência, destaque-se que as contratações mediante pregão eletrônico deverão estar alinhadas com o Plano de Gestão e Logística Sustentável do órgão.</w:t>
      </w:r>
    </w:p>
    <w:p w14:paraId="00000060" w14:textId="00000060" w:rsidR="00D14701" w:rsidRDefault="00D14701"/>
    <w:p w14:paraId="00000061" w14:textId="00000061" w:rsidR="00D14701" w:rsidRDefault="00477D65">
      <w:r>
        <w:rPr>
          <w:rFonts w:ascii="Arial" w:eastAsia="Arial" w:hAnsi="Arial" w:cs="Arial"/>
          <w:sz w:val="22"/>
        </w:rPr>
        <w:t xml:space="preserve">Nota Explicativa 5: A impossibilidade de adoção de critérios e práticas de sustentabilidade nas contratações públicas deverá ser justificada pelo gestor competente nos Estudos Técnicos Preliminares ou nos autos do processo administrativo, com a indicação das pertinentes razões de fato e/ou direito, conforme o Parecer n. 00001/2021/CNS/CGU/AGU e previsão do §1º do art. 9º da Instrução Normativa SEGES/ME nº 58, de 2022, que dispõe sobre a elaboração dos Estudos Técnicos Preliminares - ETP.   </w:t>
      </w:r>
    </w:p>
    <w:p w14:paraId="00000062" w14:textId="00000062" w:rsidR="00D14701" w:rsidRDefault="00477D65">
      <w:r>
        <w:rPr>
          <w:rFonts w:ascii="Arial" w:eastAsia="Arial" w:hAnsi="Arial" w:cs="Arial"/>
          <w:sz w:val="22"/>
        </w:rPr>
        <w:t>Se houver justificativa nos autos para a não-adoção de critérios de sustentabilidade (e apenas nesse caso), deverá haver a supressão dos dispositivos específicos acima.</w:t>
      </w:r>
    </w:p>
    <w:p w14:paraId="00000063" w14:textId="00000063" w:rsidR="00D14701" w:rsidRDefault="00D14701"/>
    <w:p w14:paraId="00000064" w14:textId="00000064" w:rsidR="00D14701" w:rsidRDefault="00477D65">
      <w:r>
        <w:rPr>
          <w:rFonts w:ascii="Arial" w:eastAsia="Arial" w:hAnsi="Arial" w:cs="Arial"/>
          <w:sz w:val="22"/>
        </w:rPr>
        <w:t>Nota Explicativa 6: Aos agentes da administração pública federal encarregados de realizar contratações públicas, recomenda-se que, no exercício de suas atribuições funcionais, consultem o Guia Nacional de Contratações Sustentáveis da Advocacia-Geral da União, disponibilizado pela Consultoria-Geral da União e no site da AGU.</w:t>
      </w:r>
    </w:p>
    <w:p w14:paraId="00000065" w14:textId="00000065" w:rsidR="00D14701" w:rsidRDefault="00D14701"/>
    <w:p w14:paraId="00000066" w14:textId="00000066" w:rsidR="00D14701" w:rsidRDefault="00477D65">
      <w:r>
        <w:rPr>
          <w:rFonts w:ascii="Arial" w:eastAsia="Arial" w:hAnsi="Arial" w:cs="Arial"/>
          <w:sz w:val="22"/>
        </w:rPr>
        <w:t>Nota Explicativa 7: De acordo com o Guia Nacional de Contratações Sustentáveis da AGU, a inclusão de critérios de sustentabilidade deve ser feita de modo claro e objetivo. Deve-se evitar a transcrição literal e automática das previsões legais ou normativas, sem efetuar o exame da incidência real e efetiva delas na contratação em apreço.</w:t>
      </w:r>
    </w:p>
    <w:p w14:paraId="00000067" w14:textId="00000067" w:rsidR="00D14701" w:rsidRDefault="00477D65">
      <w:r>
        <w:rPr>
          <w:rFonts w:ascii="Arial" w:eastAsia="Arial" w:hAnsi="Arial" w:cs="Arial"/>
          <w:sz w:val="22"/>
        </w:rPr>
        <w:t>Assim, uma vez exigido qualquer requisito ambiental na especificação do objeto e/ou edital, e/ou contrato, deve ser prevista a forma objetiva de comprovação. É preciso saber quais critérios de sustentabilidade devem ser incluídos nas peças editalícias, como fazer essas exigências e de que forma as pretendidas contratadas devem comprovar o cumprimento desses critérios de sustentabilidade exigidos pela Administração. (artigo 9, inciso XII, da Instrução Normativa SEGES/ME nº 58, de 2022, que dispõe sobre a elaboração dos Estudos Técnicos Preliminares - ETP)</w:t>
      </w:r>
    </w:p>
    <w:p w14:paraId="00000068" w14:textId="00000068" w:rsidR="00D14701" w:rsidRDefault="00D14701"/>
    <w:p w14:paraId="00000069" w14:textId="00000069" w:rsidR="00D14701" w:rsidRDefault="00477D65">
      <w:r>
        <w:rPr>
          <w:rFonts w:ascii="Arial" w:eastAsia="Arial" w:hAnsi="Arial" w:cs="Arial"/>
          <w:sz w:val="22"/>
        </w:rPr>
        <w:t>Nota Explicativa 8: Nas aquisições e contratações governamentais, deve ser dada prioridade para produtos reciclados e recicláveis e para bens, serviços e obras que considerem critérios compatíveis com padrões de consumo sustentáveis (artigo 7º, inciso XI, da Lei nº 12.305, de 2010, – Política Nacional de Resíduos Sólidos). Deve-se observar, também, a regulamentação a ser editada a luz da nova legislação.</w:t>
      </w:r>
    </w:p>
    <w:p w14:paraId="0000006A" w14:textId="0000006A" w:rsidR="00D14701" w:rsidRDefault="00D14701"/>
    <w:p w14:paraId="0000006B" w14:textId="0000006B" w:rsidR="00D14701" w:rsidRDefault="00477D65">
      <w:r>
        <w:rPr>
          <w:rFonts w:ascii="Arial" w:eastAsia="Arial" w:hAnsi="Arial" w:cs="Arial"/>
          <w:sz w:val="22"/>
        </w:rPr>
        <w:t>Nota Explicativa 9: Recomenda-se, igualmente, consulta ao Catálogo de Materiais Sustentáveis (CATMAT Sustentável), bem como consulta prévia ao site governamental https://doacoes.gov.br/, solução desenvolvida pelo Ministério da Gestão e da Inovação em Serviços Públicos, que oferta bens móveis e serviços para a administração pública, disponibilizados pelos próprios órgãos de governo ou oferecidos por particulares de forma não onerosa, otimizando a gestão do recurso público com consumo consciente e sustentável.</w:t>
      </w:r>
    </w:p>
  </w:comment>
  <w:comment w:id="7" w:author="Autor" w:initials="A">
    <w:p w14:paraId="0000004F" w14:textId="0000004F" w:rsidR="00D14701" w:rsidRDefault="00477D65">
      <w:r>
        <w:rPr>
          <w:rFonts w:ascii="Arial" w:eastAsia="Arial" w:hAnsi="Arial" w:cs="Arial"/>
          <w:sz w:val="22"/>
        </w:rPr>
        <w:t>Nota Explicativa 1: Não se admite a exigência de subcontratação para o fornecimento de bens, exceto quando estiver vinculado à prestação de serviços acessórios. Observe-se, ainda, que é vedada a subcontratação completa ou da parcela principal da obrigação.</w:t>
      </w:r>
    </w:p>
    <w:p w14:paraId="00000050" w14:textId="00000050" w:rsidR="00D14701" w:rsidRDefault="00D14701"/>
    <w:p w14:paraId="00000051" w14:textId="00000051" w:rsidR="00D14701" w:rsidRDefault="00477D65">
      <w:r>
        <w:rPr>
          <w:rFonts w:ascii="Arial" w:eastAsia="Arial" w:hAnsi="Arial" w:cs="Arial"/>
          <w:sz w:val="22"/>
        </w:rPr>
        <w:t>Nota Explicativa 2: A subcontratação deve ser avaliada à luz do artigo 122 da Lei nº 14.133, de 2021:</w:t>
      </w:r>
    </w:p>
    <w:p w14:paraId="00000052" w14:textId="00000052" w:rsidR="00D14701" w:rsidRDefault="00477D65">
      <w:r>
        <w:rPr>
          <w:rFonts w:ascii="Arial" w:eastAsia="Arial" w:hAnsi="Arial" w:cs="Arial"/>
          <w:sz w:val="22"/>
        </w:rPr>
        <w:t>“Art. 122. Na execução do contrato e sem prejuízo das responsabilidades contratuais e legais, o contratado poderá subcontratar partes da obra, do serviço ou do fornecimento até o limite autorizado, em cada caso, pela Administração.</w:t>
      </w:r>
    </w:p>
    <w:p w14:paraId="00000053" w14:textId="00000053" w:rsidR="00D14701" w:rsidRDefault="00477D65">
      <w:r>
        <w:rPr>
          <w:rFonts w:ascii="Arial" w:eastAsia="Arial" w:hAnsi="Arial" w:cs="Arial"/>
          <w:sz w:val="22"/>
        </w:rPr>
        <w:t>§ 1º O contratado apresentará à Administração documentação que comprove a capacidade técnica do subcontratado, que será avaliada e juntada aos autos do processo correspondente.</w:t>
      </w:r>
    </w:p>
    <w:p w14:paraId="00000054" w14:textId="00000054" w:rsidR="00D14701" w:rsidRDefault="00477D65">
      <w:r>
        <w:rPr>
          <w:rFonts w:ascii="Arial" w:eastAsia="Arial" w:hAnsi="Arial" w:cs="Arial"/>
          <w:sz w:val="22"/>
        </w:rPr>
        <w:t>§ 2º Regulamento ou edital de licitação poderão vedar, restringir ou estabelecer condições para a subcontratação.</w:t>
      </w:r>
    </w:p>
    <w:p w14:paraId="00000055" w14:textId="00000055" w:rsidR="00D14701" w:rsidRDefault="00477D65">
      <w:r>
        <w:rPr>
          <w:rFonts w:ascii="Arial" w:eastAsia="Arial" w:hAnsi="Arial" w:cs="Arial"/>
          <w:sz w:val="22"/>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comment>
  <w:comment w:id="8" w:author="Autor" w:initials="A">
    <w:p w14:paraId="0000003E" w14:textId="0000003E" w:rsidR="00D14701" w:rsidRDefault="00477D65">
      <w:r>
        <w:rPr>
          <w:rFonts w:ascii="Arial" w:eastAsia="Arial" w:hAnsi="Arial" w:cs="Arial"/>
          <w:sz w:val="22"/>
        </w:rPr>
        <w:t>Nota Explicativa 1: Neste momento, a área técnica competente deverá indicar se a contratação utilizará a garantia de execução ou não. As regras especificas sobre garantia, pelo seu caráter jurídico, estarão previstas no contrato e deverão ser nele inseridas caso haja indicação positiva no Termo de Referência. Caso não haja uso de minuta contratual, recomenda-se copiar e colar aqui as regras do contrato sobre esse assunto.</w:t>
      </w:r>
    </w:p>
    <w:p w14:paraId="0000003F" w14:textId="0000003F" w:rsidR="00D14701" w:rsidRDefault="00D14701"/>
    <w:p w14:paraId="00000040" w14:textId="00000040" w:rsidR="00D14701" w:rsidRDefault="00477D65">
      <w:r>
        <w:rPr>
          <w:rFonts w:ascii="Arial" w:eastAsia="Arial" w:hAnsi="Arial" w:cs="Arial"/>
          <w:sz w:val="22"/>
        </w:rPr>
        <w:t>Nota Explicativa 2: O percentual da garantia será de:</w:t>
      </w:r>
    </w:p>
    <w:p w14:paraId="00000041" w14:textId="00000041" w:rsidR="00D14701" w:rsidRDefault="00477D65">
      <w:r>
        <w:rPr>
          <w:rFonts w:ascii="Arial" w:eastAsia="Arial" w:hAnsi="Arial" w:cs="Arial"/>
          <w:sz w:val="22"/>
        </w:rPr>
        <w:t>a) até 5% (cinco por cento) do</w:t>
      </w:r>
    </w:p>
    <w:p w14:paraId="00000042" w14:textId="00000042" w:rsidR="00D14701" w:rsidRDefault="00477D65">
      <w:r>
        <w:rPr>
          <w:rFonts w:ascii="Arial" w:eastAsia="Arial" w:hAnsi="Arial" w:cs="Arial"/>
          <w:sz w:val="22"/>
        </w:rPr>
        <w:t>valor inicial do contrato, para contratações em geral, conforme art. 98 da Lei nº 14.133, de 2021;</w:t>
      </w:r>
    </w:p>
    <w:p w14:paraId="00000043" w14:textId="00000043" w:rsidR="00D14701" w:rsidRDefault="00477D65">
      <w:r>
        <w:rPr>
          <w:rFonts w:ascii="Arial" w:eastAsia="Arial" w:hAnsi="Arial" w:cs="Arial"/>
          <w:sz w:val="22"/>
        </w:rPr>
        <w:t>b) até 10% (dez por cento) do</w:t>
      </w:r>
    </w:p>
    <w:p w14:paraId="00000044" w14:textId="00000044" w:rsidR="00D14701" w:rsidRDefault="00477D65">
      <w:r>
        <w:rPr>
          <w:rFonts w:ascii="Arial" w:eastAsia="Arial" w:hAnsi="Arial" w:cs="Arial"/>
          <w:sz w:val="22"/>
        </w:rPr>
        <w:t>valor inicial do contrato, nos casos de alta complexidade técnica e riscos</w:t>
      </w:r>
    </w:p>
    <w:p w14:paraId="00000045" w14:textId="00000045" w:rsidR="00D14701" w:rsidRDefault="00477D65">
      <w:r>
        <w:rPr>
          <w:rFonts w:ascii="Arial" w:eastAsia="Arial" w:hAnsi="Arial" w:cs="Arial"/>
          <w:sz w:val="22"/>
        </w:rPr>
        <w:t>envolvidos, caso em que deverá haver justificativa específica nos autos,</w:t>
      </w:r>
    </w:p>
    <w:p w14:paraId="00000046" w14:textId="00000046" w:rsidR="00D14701" w:rsidRDefault="00477D65">
      <w:r>
        <w:rPr>
          <w:rFonts w:ascii="Arial" w:eastAsia="Arial" w:hAnsi="Arial" w:cs="Arial"/>
          <w:sz w:val="22"/>
        </w:rPr>
        <w:t>conforme art. 98 da Lei nº 14.133, de 2021;</w:t>
      </w:r>
    </w:p>
    <w:p w14:paraId="00000047" w14:textId="00000047" w:rsidR="00D14701" w:rsidRDefault="00477D65">
      <w:r>
        <w:rPr>
          <w:rFonts w:ascii="Arial" w:eastAsia="Arial" w:hAnsi="Arial" w:cs="Arial"/>
          <w:sz w:val="22"/>
        </w:rPr>
        <w:t>c) deverá ser acrescido de</w:t>
      </w:r>
    </w:p>
    <w:p w14:paraId="00000048" w14:textId="00000048" w:rsidR="00D14701" w:rsidRDefault="00477D65">
      <w:r>
        <w:rPr>
          <w:rFonts w:ascii="Arial" w:eastAsia="Arial" w:hAnsi="Arial" w:cs="Arial"/>
          <w:sz w:val="22"/>
        </w:rPr>
        <w:t>garantia adicional aos percentuais citados anteriormente, em casos de previsão</w:t>
      </w:r>
    </w:p>
    <w:p w14:paraId="00000049" w14:textId="00000049" w:rsidR="00D14701" w:rsidRDefault="00477D65">
      <w:r>
        <w:rPr>
          <w:rFonts w:ascii="Arial" w:eastAsia="Arial" w:hAnsi="Arial" w:cs="Arial"/>
          <w:sz w:val="22"/>
        </w:rPr>
        <w:t>de antecipação de pagamento, nos termos do art. 145, § 2º, da Lei nº 14.133, de 2021;</w:t>
      </w:r>
    </w:p>
    <w:p w14:paraId="0000004A" w14:textId="0000004A" w:rsidR="00D14701" w:rsidRDefault="00477D65">
      <w:r>
        <w:rPr>
          <w:rFonts w:ascii="Arial" w:eastAsia="Arial" w:hAnsi="Arial" w:cs="Arial"/>
          <w:sz w:val="22"/>
        </w:rPr>
        <w:t>d) Nos casos de contratos que impliquem a entrega de bens pela Administração, dos quais o contratado ficará depositário, o valor desses bens deverá ser acrescido ao valor da garantia calculado de acordo com os itens anteriores.</w:t>
      </w:r>
    </w:p>
    <w:p w14:paraId="0000004B" w14:textId="0000004B" w:rsidR="00D14701" w:rsidRDefault="00D14701"/>
    <w:p w14:paraId="0000004C" w14:textId="0000004C" w:rsidR="00D14701" w:rsidRDefault="00477D65">
      <w:r>
        <w:rPr>
          <w:rFonts w:ascii="Arial" w:eastAsia="Arial" w:hAnsi="Arial" w:cs="Arial"/>
          <w:sz w:val="22"/>
        </w:rPr>
        <w:t>Nota Explicativa 3: No art. 96, §3º, da Lei nº 14.133, de 2021, há previsão apenas do prazo para apresentação da garantia na modalidade seguro-garantia, em contratações precedidas de licitações, caso em que o prazo deverá ser contado da homologação da licitação. Nas demais modalidades, deverá a Administração prever o prazo e o termo início de sua contagem para a apresentação da garantia. Como o seguro-garantia, nos termos da lei, teria de ser pré-contratual, esta disposição deve estar contida neste documento igualmente pré-contratual.</w:t>
      </w:r>
    </w:p>
    <w:p w14:paraId="0000004D" w14:textId="0000004D" w:rsidR="00D14701" w:rsidRDefault="00D14701"/>
    <w:p w14:paraId="0000004E" w14:textId="0000004E" w:rsidR="00D14701" w:rsidRDefault="00D14701"/>
  </w:comment>
  <w:comment w:id="9" w:author="Autor" w:initials="A">
    <w:p w14:paraId="0000003D" w14:textId="0000003D" w:rsidR="00D14701" w:rsidRDefault="00477D65">
      <w:r>
        <w:rPr>
          <w:rFonts w:ascii="Arial" w:eastAsia="Arial" w:hAnsi="Arial" w:cs="Arial"/>
          <w:sz w:val="22"/>
        </w:rPr>
        <w:t>Nota explicativa: Este item deve ser adaptado de acordo com as necessidades específicas do órgão ou entidade, apresentando-se, este modelo, de forma meramente exemplificativa.</w:t>
      </w:r>
    </w:p>
  </w:comment>
  <w:comment w:id="10" w:author="Autor" w:initials="A">
    <w:p w14:paraId="0000003A" w14:textId="0000003A" w:rsidR="00D14701" w:rsidRDefault="00477D65">
      <w:r>
        <w:rPr>
          <w:rFonts w:ascii="Arial" w:eastAsia="Arial" w:hAnsi="Arial" w:cs="Arial"/>
          <w:sz w:val="22"/>
        </w:rPr>
        <w:t>Nota Explicativa 1: Deverá ser registrado no Sistema de TR Digital a indicação dos locais de entrega de produtos e das regras para recebimentos provisório e definitivo, quando for o caso. (art.9º, inciso I, alínea c, da IN Seges/ME nº 81, de 2022).</w:t>
      </w:r>
    </w:p>
    <w:p w14:paraId="0000003B" w14:textId="0000003B" w:rsidR="00D14701" w:rsidRDefault="00D14701"/>
    <w:p w14:paraId="0000003C" w14:textId="0000003C" w:rsidR="00D14701" w:rsidRDefault="00477D65">
      <w:r>
        <w:rPr>
          <w:rFonts w:ascii="Arial" w:eastAsia="Arial" w:hAnsi="Arial" w:cs="Arial"/>
          <w:sz w:val="22"/>
        </w:rPr>
        <w:t>Nota Explicativa 2: Caso haja mais de um endereço, deve-se especificar. Do mesmo modo, se os endereços se modificarem conforme cada entrega. Ademais, se houver a necessidade de previamente se acordar a data ou hora de entrega com o setor de almoxarifado respectivo, deve-se especificar essa obrigação.</w:t>
      </w:r>
    </w:p>
  </w:comment>
  <w:comment w:id="11" w:author="Autor" w:initials="A">
    <w:p w14:paraId="00000037" w14:textId="00000037" w:rsidR="00D14701" w:rsidRDefault="00477D65">
      <w:r>
        <w:rPr>
          <w:rFonts w:ascii="Arial" w:eastAsia="Arial" w:hAnsi="Arial" w:cs="Arial"/>
          <w:sz w:val="22"/>
        </w:rPr>
        <w:t xml:space="preserve">Nota Explicativa 1: Fica a critério da Administração exigir - ou não - a garantia contratual dos bens, complementar à garantia legal, mediante a devida fundamentação, a ser exposta neste item do Termo de Referência. Não a exigindo, deverá suprimir o item. </w:t>
      </w:r>
    </w:p>
    <w:p w14:paraId="00000038" w14:textId="00000038" w:rsidR="00D14701" w:rsidRDefault="00D14701"/>
    <w:p w14:paraId="00000039" w14:textId="00000039" w:rsidR="00D14701" w:rsidRDefault="00477D65">
      <w:r>
        <w:rPr>
          <w:rFonts w:ascii="Arial" w:eastAsia="Arial" w:hAnsi="Arial" w:cs="Arial"/>
          <w:sz w:val="22"/>
        </w:rPr>
        <w:t>Nota Explicativa 2: O artigo 9º, inciso alínea “d” da IN Seges/ME nº 81 de 2022 exige que a inserção no TR Digital da especificação da garantia exigida e das condições de manutenção e assistência técnica, quando for o caso.</w:t>
      </w:r>
    </w:p>
  </w:comment>
  <w:comment w:id="12" w:author="Autor" w:initials="A">
    <w:p w14:paraId="00000036" w14:textId="00000036" w:rsidR="00D14701" w:rsidRDefault="00477D65">
      <w:r>
        <w:rPr>
          <w:rFonts w:ascii="Arial" w:eastAsia="Arial" w:hAnsi="Arial" w:cs="Arial"/>
          <w:sz w:val="22"/>
        </w:rPr>
        <w:t>Nota Explicativa: Os gestores e fiscais do contrato serão designados pela autoridade máxima do órgão ou da entidade, ou a quem as normas de organização administrativa indicarem, na forma do art. 7º da Lei nº 14.133, de 2021, e art. 8º do Decreto nº 11.246, de 2022, devendo a Administração instruir os autos com as publicações dos atos de designação dos agentes públicos para o exercício dessas funções.</w:t>
      </w:r>
    </w:p>
  </w:comment>
  <w:comment w:id="13" w:author="Autor" w:initials="A">
    <w:p w14:paraId="00000035" w14:textId="00000035" w:rsidR="00D14701" w:rsidRDefault="00477D65">
      <w:r>
        <w:rPr>
          <w:rFonts w:ascii="Arial" w:eastAsia="Arial" w:hAnsi="Arial" w:cs="Arial"/>
          <w:sz w:val="22"/>
        </w:rPr>
        <w:t>Nota Explicativa: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14" w:author="Autor" w:initials="A">
    <w:p w14:paraId="00000034" w14:textId="00000034" w:rsidR="00D14701" w:rsidRDefault="00477D65">
      <w:r>
        <w:rPr>
          <w:rFonts w:ascii="Arial" w:eastAsia="Arial" w:hAnsi="Arial" w:cs="Arial"/>
          <w:sz w:val="22"/>
        </w:rPr>
        <w:t>Nota explicativa: O art. 7º, inciso I, da Instrução Normativa SEGES/ME nº 77, de 4 de novembro de 2022, estabelece o prazo de 10 (dez dias) úteis para a liquidação da despesa, a contar do recebimento da nota fiscal ou instrumento de cobrança equivalente 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o prazo máximo de 10 dias úteis deverá ser suficiente para as providências de recebimentos provisório, definitivo e de liquidação. Assim, embora a Lei nº 14.133/21 não fixe prazo máximo de recebimento definitivo, este prazo deverá ser inferior ao fixado para liquidação de despesa pela IN SEGES/ME nº 77, de 2022.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15" w:author="Autor" w:initials="A">
    <w:p w14:paraId="00000033" w14:textId="00000033" w:rsidR="00D14701" w:rsidRDefault="00477D65">
      <w:r>
        <w:rPr>
          <w:rFonts w:ascii="Arial" w:eastAsia="Arial" w:hAnsi="Arial" w:cs="Arial"/>
          <w:sz w:val="22"/>
        </w:rPr>
        <w:t>Nota Explicativa: Observar que o artigo 7º, §2º, da Instrução Normativa nº 77, de 2022, prevê que “Para as contratações decorrentes de despesas cujos valores não ultrapassem o limite de que trata o inciso II do art. 75 da Lei nº 14.133, de 2021, os prazos de que dos incisos I e II do caput serão reduzidos pela metade.” (g.n). Como o prazo máximo de liquidação será reduzido pela metade, então o prazo de recebimento também deverá ser ajustado.</w:t>
      </w:r>
    </w:p>
  </w:comment>
  <w:comment w:id="16" w:author="Autor" w:initials="A">
    <w:p w14:paraId="00000032" w14:textId="00000032" w:rsidR="00D14701" w:rsidRDefault="00477D65">
      <w:r>
        <w:rPr>
          <w:rFonts w:ascii="Arial" w:eastAsia="Arial" w:hAnsi="Arial" w:cs="Arial"/>
          <w:sz w:val="22"/>
        </w:rPr>
        <w:t>Nota Explicativa: Deverá a Administração indicar o índice de preços a ser utilizado para a atualização monetária do valor devido ao contratado.</w:t>
      </w:r>
    </w:p>
  </w:comment>
  <w:comment w:id="17" w:author="Autor" w:initials="A">
    <w:p w14:paraId="00000031" w14:textId="00000031" w:rsidR="00D14701" w:rsidRDefault="00477D65">
      <w:r>
        <w:rPr>
          <w:rFonts w:ascii="Arial" w:eastAsia="Arial" w:hAnsi="Arial" w:cs="Arial"/>
          <w:sz w:val="22"/>
        </w:rPr>
        <w:t>Nota Explicativa: 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18" w:author="Autor" w:initials="A">
    <w:p w14:paraId="0000002C" w14:textId="0000002C" w:rsidR="00D14701" w:rsidRDefault="00477D65">
      <w:r>
        <w:rPr>
          <w:rFonts w:ascii="Arial" w:eastAsia="Arial" w:hAnsi="Arial" w:cs="Arial"/>
          <w:sz w:val="22"/>
        </w:rPr>
        <w:t xml:space="preserve">Nota Explicativa: A IN SEGES/ME nº 53, de 2020, disciplinou uma modalidade específica de cessão de crédito no âmbito dos contratos administrativos – a denominada “operação de crédito garantida por cessão fiduciária” (ou, simplesmente, “cessão fiduciária”) –, prescrevendo, em seu art. 15, que editais e contratos prevejam expressamente sua admissibilidade. A possibilidade de cessão dos créditos de que trata a referida Instrução Normativa é, portanto, mandatória/cogente/impositiva. </w:t>
      </w:r>
    </w:p>
    <w:p w14:paraId="0000002D" w14:textId="0000002D" w:rsidR="00D14701" w:rsidRDefault="00477D65">
      <w:r>
        <w:rPr>
          <w:rFonts w:ascii="Arial" w:eastAsia="Arial" w:hAnsi="Arial" w:cs="Arial"/>
          <w:sz w:val="22"/>
        </w:rPr>
        <w:t>A cessão fiduciária, regida pela IN SEGES/ME nº 53/2020, é feita com instituição financeira, para garantia de operação de crédito e ocorre somente por intermédio do sistema AntecipaGOV. Neste tipo de negócio jurídico, o fornecedor que detém um vínculo contratual com a Administração Pública, contrai empréstimo perante instituição financeira e, como garantia da operação, cede a esta última seus direitos creditórios pertinentes ao contrato administrativo.</w:t>
      </w:r>
    </w:p>
    <w:p w14:paraId="0000002E" w14:textId="0000002E" w:rsidR="00D14701" w:rsidRDefault="00477D65">
      <w:r>
        <w:rPr>
          <w:rFonts w:ascii="Arial" w:eastAsia="Arial" w:hAnsi="Arial" w:cs="Arial"/>
          <w:sz w:val="22"/>
        </w:rPr>
        <w:t xml:space="preserve">Já em relação às demais modalidades de cessão de crédito, não abrangidas pela IN SEGES/ME nº 53/2020, feitas com outros tipos de particulares, tem-se que sua previsão em editais e contratos administrativos, embora não obrigatória, continua admitida por força do Parecer JL-01, do Advogado-Geral da União, aprovado pelo Sr. Presidente da República em 26/05/2020, e, portanto, vinculante para toda a administração pública (arts. 40, §1º, e 41 da Lei Complementar nº 73, de 1993). </w:t>
      </w:r>
    </w:p>
    <w:p w14:paraId="0000002F" w14:textId="0000002F" w:rsidR="00D14701" w:rsidRDefault="00477D65">
      <w:r>
        <w:rPr>
          <w:rFonts w:ascii="Arial" w:eastAsia="Arial" w:hAnsi="Arial" w:cs="Arial"/>
          <w:sz w:val="22"/>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p w14:paraId="00000030" w14:textId="00000030" w:rsidR="00D14701" w:rsidRDefault="00477D65">
      <w:r>
        <w:rPr>
          <w:rFonts w:ascii="Arial" w:eastAsia="Arial" w:hAnsi="Arial" w:cs="Arial"/>
          <w:sz w:val="22"/>
        </w:rPr>
        <w:t>Para diferenciar uma da outra, orienta-se verificar a pessoa do cessionário, se instituição financeira ou não (no primeiro caso, tenderá a ser cessão fiduciária, portanto obrigatoriamente permitida) e se a destinação é garantir uma operação de crédito (também necessário para o enquadramento como fiduciária).</w:t>
      </w:r>
    </w:p>
  </w:comment>
  <w:comment w:id="21" w:author="Autor" w:initials="A">
    <w:p w14:paraId="00000026" w14:textId="00000026" w:rsidR="00D14701" w:rsidRDefault="00477D65">
      <w:r>
        <w:rPr>
          <w:rFonts w:ascii="Arial" w:eastAsia="Arial" w:hAnsi="Arial" w:cs="Arial"/>
          <w:sz w:val="22"/>
        </w:rPr>
        <w:t>Nota Explicativa: A INSTRUÇÃO NORMATIVA Nº 53, DE 8 DE JULHO DE 2020 apresenta algumas limitações quanto ao valor da operação de crédito:</w:t>
      </w:r>
    </w:p>
    <w:p w14:paraId="00000027" w14:textId="00000027" w:rsidR="00D14701" w:rsidRDefault="00477D65">
      <w:r>
        <w:rPr>
          <w:rFonts w:ascii="Arial" w:eastAsia="Arial" w:hAnsi="Arial" w:cs="Arial"/>
          <w:sz w:val="22"/>
        </w:rPr>
        <w:t>Anexo I:</w:t>
      </w:r>
    </w:p>
    <w:p w14:paraId="00000028" w14:textId="00000028" w:rsidR="00D14701" w:rsidRDefault="00477D65">
      <w:r>
        <w:rPr>
          <w:rFonts w:ascii="Arial" w:eastAsia="Arial" w:hAnsi="Arial" w:cs="Arial"/>
          <w:sz w:val="22"/>
        </w:rPr>
        <w:t>"1.2. O valor da operação de crédito não poderá exceder a setenta por cento do saldo a receber atualizado do(s) contrato(s) selecionado(s) pelas instituições financeiras.</w:t>
      </w:r>
    </w:p>
    <w:p w14:paraId="00000029" w14:textId="00000029" w:rsidR="00D14701" w:rsidRDefault="00477D65">
      <w:r>
        <w:rPr>
          <w:rFonts w:ascii="Arial" w:eastAsia="Arial" w:hAnsi="Arial" w:cs="Arial"/>
          <w:sz w:val="22"/>
        </w:rPr>
        <w:t>(...)</w:t>
      </w:r>
    </w:p>
    <w:p w14:paraId="0000002A" w14:textId="0000002A" w:rsidR="00D14701" w:rsidRDefault="00477D65">
      <w:r>
        <w:rPr>
          <w:rFonts w:ascii="Arial" w:eastAsia="Arial" w:hAnsi="Arial" w:cs="Arial"/>
          <w:sz w:val="22"/>
        </w:rPr>
        <w:t>a) o valor máximo da nova operação de crédito corresponderá a setenta por cento da diferença entre o saldo atualizado dos créditos do contrato e o saldo devedor atualizado da operação anterior;"</w:t>
      </w:r>
    </w:p>
  </w:comment>
  <w:comment w:id="19" w:author="Autor" w:initials="A">
    <w:p w14:paraId="0000002B" w14:textId="0000002B" w:rsidR="00D14701" w:rsidRDefault="00477D65">
      <w:r>
        <w:rPr>
          <w:rFonts w:ascii="Arial" w:eastAsia="Arial" w:hAnsi="Arial" w:cs="Arial"/>
          <w:sz w:val="22"/>
        </w:rPr>
        <w:t>Nota Explicativa: Os condicionamentos dos subitens 7.34 e 7.35 decorrem das conclusões do Parecer JL-01, de 18 de maio de 2020.</w:t>
      </w:r>
    </w:p>
  </w:comment>
  <w:comment w:id="22" w:author="Autor" w:initials="A">
    <w:p w14:paraId="00000021" w14:textId="00000021" w:rsidR="00D14701" w:rsidRDefault="00477D65">
      <w:r>
        <w:rPr>
          <w:rFonts w:ascii="Arial" w:eastAsia="Arial" w:hAnsi="Arial" w:cs="Arial"/>
          <w:sz w:val="22"/>
        </w:rPr>
        <w:t>Nota Explicativa: É fundamental que a Administração observe que exigências demasiadas poderão prejudicar a competitividade da licitação e ofender a o disposto no art. 37, inciso XXI da Constituição Federal, o qual preceitua que “o processo de licitação pública... somente permitirá as exigências de qualificação técnica e econômica indispensáveis à garantia do cumprimento das obrigações”.</w:t>
      </w:r>
    </w:p>
    <w:p w14:paraId="00000022" w14:textId="00000022" w:rsidR="00D14701" w:rsidRDefault="00477D65">
      <w:r>
        <w:rPr>
          <w:rFonts w:ascii="Arial" w:eastAsia="Arial" w:hAnsi="Arial" w:cs="Arial"/>
          <w:sz w:val="22"/>
        </w:rPr>
        <w:t>O art. 70, III, da Lei Nº 14.133/2021,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14:paraId="00000023" w14:textId="00000023" w:rsidR="00D14701" w:rsidRDefault="00477D65">
      <w:r>
        <w:rPr>
          <w:rFonts w:ascii="Arial" w:eastAsia="Arial" w:hAnsi="Arial" w:cs="Arial"/>
          <w:sz w:val="22"/>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14:paraId="00000024" w14:textId="00000024" w:rsidR="00D14701" w:rsidRDefault="00477D65">
      <w:r>
        <w:rPr>
          <w:rFonts w:ascii="Arial" w:eastAsia="Arial" w:hAnsi="Arial" w:cs="Arial"/>
          <w:sz w:val="22"/>
        </w:rPr>
        <w:t>Em licitação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14:paraId="00000025" w14:textId="00000025" w:rsidR="00D14701" w:rsidRDefault="00477D65">
      <w:r>
        <w:rPr>
          <w:rFonts w:ascii="Arial" w:eastAsia="Arial" w:hAnsi="Arial" w:cs="Arial"/>
          <w:sz w:val="22"/>
        </w:rPr>
        <w:t>É vedada a inclusão de requisitos que não tenham suporte nos arts. 66 a 69 da Lei nº 14.133, de 2021.</w:t>
      </w:r>
    </w:p>
  </w:comment>
  <w:comment w:id="24" w:author="Autor" w:initials="A">
    <w:p w14:paraId="0000001E" w14:textId="0000001E" w:rsidR="00D14701" w:rsidRDefault="00477D65">
      <w:r>
        <w:rPr>
          <w:rFonts w:ascii="Arial" w:eastAsia="Arial" w:hAnsi="Arial" w:cs="Arial"/>
          <w:sz w:val="22"/>
        </w:rPr>
        <w:t>Nota Explicativa: A Instrução Normativa SEGES/ME nº 116, de 21 de dezembro de 2021, estabelece procedimentos para a participação de pessoa física nas contratações públicas regidas pela Lei nº 14.133, de 2021,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14:paraId="0000001F" w14:textId="0000001F" w:rsidR="00D14701" w:rsidRDefault="00477D65">
      <w:r>
        <w:rPr>
          <w:rFonts w:ascii="Arial" w:eastAsia="Arial" w:hAnsi="Arial" w:cs="Arial"/>
          <w:sz w:val="22"/>
        </w:rPr>
        <w:t xml:space="preserve">A IN SEGES/ME nº 116, de 2021,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 Portanto, a possibilidade, ou não, de contratação de pessoas físicas deverá ser objeto de prévia análise e manifestação técnica por parte do órgão contratante, na fase de planejamento da contratação. </w:t>
      </w:r>
    </w:p>
    <w:p w14:paraId="00000020" w14:textId="00000020" w:rsidR="00D14701" w:rsidRDefault="00477D65">
      <w:r>
        <w:rPr>
          <w:rFonts w:ascii="Arial" w:eastAsia="Arial" w:hAnsi="Arial" w:cs="Arial"/>
          <w:sz w:val="22"/>
        </w:rPr>
        <w:t>O Decreto n.º 10.977, de 23 de fevereiro de 2022,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caput do seu art. 11.</w:t>
      </w:r>
    </w:p>
  </w:comment>
  <w:comment w:id="25" w:author="Autor" w:initials="A">
    <w:p w14:paraId="0000001B" w14:textId="0000001B" w:rsidR="00D14701" w:rsidRDefault="00477D65">
      <w:r>
        <w:rPr>
          <w:rFonts w:ascii="Arial" w:eastAsia="Arial" w:hAnsi="Arial" w:cs="Arial"/>
          <w:sz w:val="22"/>
        </w:rPr>
        <w:t>Nota Explicativa: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w:t>
      </w:r>
    </w:p>
    <w:p w14:paraId="0000001C" w14:textId="0000001C" w:rsidR="00D14701" w:rsidRDefault="00477D65">
      <w:r>
        <w:rPr>
          <w:rFonts w:ascii="Arial" w:eastAsia="Arial" w:hAnsi="Arial" w:cs="Arial"/>
          <w:sz w:val="22"/>
        </w:rPr>
        <w:t>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0000001D" w14:textId="0000001D" w:rsidR="00D14701" w:rsidRDefault="00477D65">
      <w:r>
        <w:rPr>
          <w:rFonts w:ascii="Arial" w:eastAsia="Arial" w:hAnsi="Arial" w:cs="Arial"/>
          <w:sz w:val="22"/>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27" w:author="Autor" w:initials="A">
    <w:p w14:paraId="0000001A" w14:textId="0000001A" w:rsidR="00D14701" w:rsidRDefault="00477D65">
      <w:r>
        <w:rPr>
          <w:rFonts w:ascii="Arial" w:eastAsia="Arial" w:hAnsi="Arial" w:cs="Arial"/>
          <w:sz w:val="22"/>
        </w:rPr>
        <w:t>Nota Explicativa: O artigo 193 do Código Tributário Nacional (Lei nº 5.172, de 25 de outubro de 1966) preceitua que a prova da quitação de todos os tributos devidos dar-se-á no âmbito da Fazenda Pública interessada,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28" w:author="Autor" w:initials="A">
    <w:p w14:paraId="00000019" w14:textId="00000019" w:rsidR="00D14701" w:rsidRDefault="00477D65">
      <w:r>
        <w:rPr>
          <w:rFonts w:ascii="Arial" w:eastAsia="Arial" w:hAnsi="Arial" w:cs="Arial"/>
          <w:sz w:val="22"/>
        </w:rPr>
        <w:t>Nota Explicativa: A apresentação do Certificado de Condição de Microempreendedor Individual – CCMEI supre as exigências de inscrição nos cadastros fiscais, na medida em que essas informações constam no próprio Certificado.</w:t>
      </w:r>
    </w:p>
  </w:comment>
  <w:comment w:id="29" w:author="Autor" w:initials="A">
    <w:p w14:paraId="00000017" w14:textId="00000017" w:rsidR="00D14701" w:rsidRDefault="00477D65">
      <w:r>
        <w:rPr>
          <w:rFonts w:ascii="Arial" w:eastAsia="Arial" w:hAnsi="Arial" w:cs="Arial"/>
          <w:sz w:val="22"/>
        </w:rPr>
        <w:t>Nota Explicativa 1: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edital. Conforme Nota Explicativa do início deste tópico, a exigência de qualificação técnica e econômica nas circunstâncias previstas no art. 70, III da Lei n.º 14.133, de 2021, deve ser excepcional e justificada, à luz do art. 37, XXI, da Constituição Federal.</w:t>
      </w:r>
    </w:p>
    <w:p w14:paraId="00000018" w14:textId="00000018" w:rsidR="00D14701" w:rsidRDefault="00477D65">
      <w:r>
        <w:rPr>
          <w:rFonts w:ascii="Arial" w:eastAsia="Arial" w:hAnsi="Arial" w:cs="Arial"/>
          <w:sz w:val="22"/>
        </w:rPr>
        <w:t>Nota Explicativa 2: É possível adotar critérios de habilitação econômico-financeira com requisitos diferenciados, estabelecidos conforme as peculiaridades do objeto a ser licitado, com justificativa do percentual adotado nos autos do procedimento licitatório.</w:t>
      </w:r>
    </w:p>
  </w:comment>
  <w:comment w:id="30" w:author="Autor" w:initials="A">
    <w:p w14:paraId="00000016" w14:textId="00000016" w:rsidR="00D14701" w:rsidRDefault="00477D65">
      <w:r>
        <w:rPr>
          <w:rFonts w:ascii="Arial" w:eastAsia="Arial" w:hAnsi="Arial" w:cs="Arial"/>
          <w:sz w:val="22"/>
        </w:rPr>
        <w:t>Nota Explicativa: Conforme o §4º do art. 16 da Instrução Normativa SEGES/MP nº 3, de 2018</w:t>
      </w:r>
    </w:p>
  </w:comment>
  <w:comment w:id="31" w:author="Autor" w:initials="A">
    <w:p w14:paraId="00000015" w14:textId="00000015" w:rsidR="00D14701" w:rsidRDefault="00477D65">
      <w:r>
        <w:rPr>
          <w:rFonts w:ascii="Arial" w:eastAsia="Arial" w:hAnsi="Arial" w:cs="Arial"/>
          <w:sz w:val="22"/>
        </w:rPr>
        <w:t>Nota Explicativa: A previsão do subitem 8.29 decorre do disposto no art. 69, §1º da Lei nº 14.133, de 2021, podendo a Administração optar por tal disposição, desde que justificadamente.</w:t>
      </w:r>
    </w:p>
  </w:comment>
  <w:comment w:id="32" w:author="Autor" w:initials="A">
    <w:p w14:paraId="00000010" w14:textId="00000010" w:rsidR="00D14701" w:rsidRDefault="00477D65">
      <w:r>
        <w:rPr>
          <w:rFonts w:ascii="Arial" w:eastAsia="Arial" w:hAnsi="Arial" w:cs="Arial"/>
          <w:sz w:val="22"/>
        </w:rPr>
        <w:t xml:space="preserve">Nota Explicativa 1: O art. 67 da Lei nº 14.133, de 2021,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artigo 37, inciso XXI, da Constituição Federal, caso verifique que a medida é indispensável à garantia do cumprimento das obrigações pertinentes à execução do objeto. </w:t>
      </w:r>
    </w:p>
    <w:p w14:paraId="00000011" w14:textId="00000011" w:rsidR="00D14701" w:rsidRDefault="00477D65">
      <w:r>
        <w:rPr>
          <w:rFonts w:ascii="Arial" w:eastAsia="Arial" w:hAnsi="Arial" w:cs="Arial"/>
          <w:sz w:val="22"/>
        </w:rPr>
        <w:t>Para tanto, recomenda-se que a Administração se utilize da interpretação extensiva das regras, limites e princípios que incidem em relação à prova de qualificação técnica dos licitantes na contratação de serviços, observadas as peculiaridades das compras em cada caso concreto.</w:t>
      </w:r>
    </w:p>
    <w:p w14:paraId="00000012" w14:textId="00000012" w:rsidR="00D14701" w:rsidRDefault="00477D65">
      <w:r>
        <w:rPr>
          <w:rFonts w:ascii="Arial" w:eastAsia="Arial" w:hAnsi="Arial" w:cs="Arial"/>
          <w:sz w:val="22"/>
        </w:rPr>
        <w:t>Nota Explicativa 2: 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14:paraId="00000013" w14:textId="00000013" w:rsidR="00D14701" w:rsidRDefault="00477D65">
      <w:r>
        <w:rPr>
          <w:rFonts w:ascii="Arial" w:eastAsia="Arial" w:hAnsi="Arial" w:cs="Arial"/>
          <w:sz w:val="22"/>
        </w:rPr>
        <w:t>Nota Explicativa 3: Em relação pessoa física ou jurídica que se caracterize como “potencial subcontratado”, é possível a previsão de exigência de atestados específicos, situação na qual mais de um licitante poderá apresentar atestado relativo ao mesmo potencial subcontratado. Nesse sentido é o teor do § 9º do art. 67 da Lei nº 14.133, de 2021:</w:t>
      </w:r>
    </w:p>
    <w:p w14:paraId="00000014" w14:textId="00000014" w:rsidR="00D14701" w:rsidRDefault="00477D65">
      <w:r>
        <w:rPr>
          <w:rFonts w:ascii="Arial" w:eastAsia="Arial" w:hAnsi="Arial" w:cs="Arial"/>
          <w:sz w:val="22"/>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33" w:author="Autor" w:initials="A">
    <w:p w14:paraId="00000003" w14:textId="00000003" w:rsidR="00D14701" w:rsidRDefault="00477D65">
      <w:r>
        <w:rPr>
          <w:rFonts w:ascii="Arial" w:eastAsia="Arial" w:hAnsi="Arial" w:cs="Arial"/>
          <w:sz w:val="22"/>
        </w:rPr>
        <w:t>Nota Explicativa 1: Pesquisa de Preços - A estimativa de preços deve ser precedida de regular pesquisa, nos moldes do art. 23 da Lei nº 14.133, de 2021, e da Instrução Normativa SEGES/ME nº 65, de 7 de julho 2021.</w:t>
      </w:r>
    </w:p>
    <w:p w14:paraId="00000004" w14:textId="00000004" w:rsidR="00D14701" w:rsidRDefault="00477D65">
      <w:r>
        <w:rPr>
          <w:rFonts w:ascii="Arial" w:eastAsia="Arial" w:hAnsi="Arial" w:cs="Arial"/>
          <w:sz w:val="22"/>
        </w:rPr>
        <w:t xml:space="preserve">Nota Explicativa 2: Os preços unitários referenciais, as memórias de cálculo e os documentos que lhe dão suporte, com os parâmetros utilizados para a obtenção dos preços e para os respectivos cálculos, devem constar de anexo ao termo de referência, nos termos do art. 9º, IX, da Instrução Normativa Seges/ME nº 81, de 2022. Caso a Administração opte por preservar o sigilo da estimativa do valor da contratação, também deverá ser preservado o sigilo desse anexo. </w:t>
      </w:r>
    </w:p>
    <w:p w14:paraId="00000005" w14:textId="00000005" w:rsidR="00D14701" w:rsidRDefault="00477D65">
      <w:r>
        <w:rPr>
          <w:rFonts w:ascii="Arial" w:eastAsia="Arial" w:hAnsi="Arial" w:cs="Arial"/>
          <w:sz w:val="22"/>
        </w:rPr>
        <w:t>Nota Explicativa 3: Utilizar a redação do item 9.1 na hipótese de licitação em que for adotado o critério de julgamento por menor preço, sem caráter sigiloso.</w:t>
      </w:r>
    </w:p>
  </w:comment>
  <w:comment w:id="34" w:author="Autor" w:initials="A">
    <w:p w14:paraId="00000001" w14:textId="00000001" w:rsidR="00D14701" w:rsidRDefault="00477D65">
      <w:r>
        <w:rPr>
          <w:rFonts w:ascii="Arial" w:eastAsia="Arial" w:hAnsi="Arial" w:cs="Arial"/>
          <w:sz w:val="22"/>
        </w:rPr>
        <w:t>Nota Explicativa: O art. 106, II da Lei nº 14.133, de 2021, prevê para contratações de serviços e fornecimento continuado que a “a Administração deverá atestar, no início da contratação e de cada exercício, a existência de créditos orçamentários vinculados à contratação e a vantagem em sua manutenção”. Quanto à rescisão contratual por ausência de crédito ou vantajosidade (art. 106, III), remete-se às regras específicas constantes do contrato, inclusive em relação à aplicação do art. 106, §1º.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83" w15:done="0"/>
  <w15:commentEx w15:paraId="00000080" w15:done="0"/>
  <w15:commentEx w15:paraId="0000007F" w15:done="0"/>
  <w15:commentEx w15:paraId="0000007E" w15:done="0"/>
  <w15:commentEx w15:paraId="0000007D" w15:done="0"/>
  <w15:commentEx w15:paraId="0000006D" w15:done="0"/>
  <w15:commentEx w15:paraId="0000006B" w15:done="0"/>
  <w15:commentEx w15:paraId="00000055" w15:done="0"/>
  <w15:commentEx w15:paraId="0000004E" w15:done="0"/>
  <w15:commentEx w15:paraId="0000003D" w15:done="0"/>
  <w15:commentEx w15:paraId="0000003C" w15:done="0"/>
  <w15:commentEx w15:paraId="00000039" w15:done="0"/>
  <w15:commentEx w15:paraId="00000036" w15:done="0"/>
  <w15:commentEx w15:paraId="00000035" w15:done="0"/>
  <w15:commentEx w15:paraId="00000034" w15:done="0"/>
  <w15:commentEx w15:paraId="00000033" w15:done="0"/>
  <w15:commentEx w15:paraId="00000032" w15:done="0"/>
  <w15:commentEx w15:paraId="00000031" w15:done="0"/>
  <w15:commentEx w15:paraId="00000030" w15:done="0"/>
  <w15:commentEx w15:paraId="0000002A" w15:done="0"/>
  <w15:commentEx w15:paraId="0000002B" w15:done="0"/>
  <w15:commentEx w15:paraId="00000025" w15:done="0"/>
  <w15:commentEx w15:paraId="00000020" w15:done="0"/>
  <w15:commentEx w15:paraId="0000001D" w15:done="0"/>
  <w15:commentEx w15:paraId="0000001A" w15:done="0"/>
  <w15:commentEx w15:paraId="00000019" w15:done="0"/>
  <w15:commentEx w15:paraId="00000018" w15:done="0"/>
  <w15:commentEx w15:paraId="00000016" w15:done="0"/>
  <w15:commentEx w15:paraId="00000015" w15:done="0"/>
  <w15:commentEx w15:paraId="00000014" w15:done="0"/>
  <w15:commentEx w15:paraId="00000005" w15:done="0"/>
  <w15:commentEx w15:paraId="000000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83" w16cid:durableId="274CA40B"/>
  <w16cid:commentId w16cid:paraId="00000080" w16cid:durableId="37B2A2CA"/>
  <w16cid:commentId w16cid:paraId="0000007F" w16cid:durableId="274B3C45"/>
  <w16cid:commentId w16cid:paraId="0000007E" w16cid:durableId="274B3EB0"/>
  <w16cid:commentId w16cid:paraId="0000007D" w16cid:durableId="274B4116"/>
  <w16cid:commentId w16cid:paraId="0000006D" w16cid:durableId="274B45FE"/>
  <w16cid:commentId w16cid:paraId="0000006B" w16cid:durableId="274B4BA5"/>
  <w16cid:commentId w16cid:paraId="00000055" w16cid:durableId="274B4F45"/>
  <w16cid:commentId w16cid:paraId="0000004E" w16cid:durableId="2810CEA5"/>
  <w16cid:commentId w16cid:paraId="0000003D" w16cid:durableId="0641096A"/>
  <w16cid:commentId w16cid:paraId="0000003C" w16cid:durableId="274B57A7"/>
  <w16cid:commentId w16cid:paraId="00000039" w16cid:durableId="62BE0F90"/>
  <w16cid:commentId w16cid:paraId="00000036" w16cid:durableId="274B59F5"/>
  <w16cid:commentId w16cid:paraId="00000035" w16cid:durableId="2810BBB1"/>
  <w16cid:commentId w16cid:paraId="00000034" w16cid:durableId="274B5C84"/>
  <w16cid:commentId w16cid:paraId="00000033" w16cid:durableId="274B5CE1"/>
  <w16cid:commentId w16cid:paraId="00000032" w16cid:durableId="274B60FC"/>
  <w16cid:commentId w16cid:paraId="00000031" w16cid:durableId="274B6137"/>
  <w16cid:commentId w16cid:paraId="00000030" w16cid:durableId="274B6458"/>
  <w16cid:commentId w16cid:paraId="0000002A" w16cid:durableId="36431F64"/>
  <w16cid:commentId w16cid:paraId="0000002B" w16cid:durableId="274C9FE2"/>
  <w16cid:commentId w16cid:paraId="00000025" w16cid:durableId="274B685E"/>
  <w16cid:commentId w16cid:paraId="00000020" w16cid:durableId="274B694B"/>
  <w16cid:commentId w16cid:paraId="0000001D" w16cid:durableId="274B6A55"/>
  <w16cid:commentId w16cid:paraId="0000001A" w16cid:durableId="274B6CCD"/>
  <w16cid:commentId w16cid:paraId="00000019" w16cid:durableId="274B6CEC"/>
  <w16cid:commentId w16cid:paraId="00000018" w16cid:durableId="274B6D4B"/>
  <w16cid:commentId w16cid:paraId="00000016" w16cid:durableId="3DA9133A"/>
  <w16cid:commentId w16cid:paraId="00000015" w16cid:durableId="274B6E4B"/>
  <w16cid:commentId w16cid:paraId="00000014" w16cid:durableId="274B6EC3"/>
  <w16cid:commentId w16cid:paraId="00000005" w16cid:durableId="274B7561"/>
  <w16cid:commentId w16cid:paraId="00000001" w16cid:durableId="274B76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CF29B" w14:textId="77777777" w:rsidR="00D14701" w:rsidRDefault="00477D65">
      <w:r>
        <w:separator/>
      </w:r>
    </w:p>
  </w:endnote>
  <w:endnote w:type="continuationSeparator" w:id="0">
    <w:p w14:paraId="4763E1D3" w14:textId="77777777" w:rsidR="00D14701" w:rsidRDefault="00477D65">
      <w:r>
        <w:continuationSeparator/>
      </w:r>
    </w:p>
  </w:endnote>
  <w:endnote w:type="continuationNotice" w:id="1">
    <w:p w14:paraId="3C5275B2" w14:textId="77777777" w:rsidR="00D14701" w:rsidRDefault="00D14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3">
    <w:charset w:val="00"/>
    <w:family w:val="auto"/>
    <w:pitch w:val="default"/>
  </w:font>
  <w:font w:name="1">
    <w:charset w:val="00"/>
    <w:family w:val="auto"/>
    <w:pitch w:val="default"/>
  </w:font>
  <w:font w:name="Ecofont_Spranq_eco_Sans">
    <w:altName w:val="Malgun Gothic"/>
    <w:charset w:val="00"/>
    <w:family w:val="auto"/>
    <w:pitch w:val="default"/>
  </w:font>
  <w:font w:name="Tahoma">
    <w:panose1 w:val="020B0604030504040204"/>
    <w:charset w:val="00"/>
    <w:family w:val="swiss"/>
    <w:pitch w:val="variable"/>
    <w:sig w:usb0="E1002EFF" w:usb1="C000605B" w:usb2="00000029" w:usb3="00000000" w:csb0="000101FF" w:csb1="00000000"/>
  </w:font>
  <w:font w:name="WenQuanYi Micro Hei">
    <w:charset w:val="00"/>
    <w:family w:val="auto"/>
    <w:pitch w:val="default"/>
  </w:font>
  <w:font w:name="Lohit Hindi">
    <w:altName w:val="Times New Roman"/>
    <w:charset w:val="00"/>
    <w:family w:val="auto"/>
    <w:pitch w:val="default"/>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IDFont+F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sdtContent>
      <w:p w14:paraId="08878818" w14:textId="77777777" w:rsidR="00D14701" w:rsidRDefault="00477D65">
        <w:pPr>
          <w:pStyle w:val="Rodap"/>
          <w:rPr>
            <w:color w:val="548DD4"/>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27CA9B4" w14:textId="77777777" w:rsidR="00D14701" w:rsidRDefault="00477D65">
        <w:pPr>
          <w:pStyle w:val="Rodap"/>
          <w:rPr>
            <w:rFonts w:ascii="Arial" w:hAnsi="Arial" w:cs="Arial"/>
            <w:color w:val="7F7F7F"/>
            <w:sz w:val="12"/>
          </w:rPr>
        </w:pPr>
        <w:r>
          <w:rPr>
            <w:color w:val="7F7F7F" w:themeColor="text1" w:themeTint="80"/>
            <w:spacing w:val="60"/>
            <w:sz w:val="22"/>
            <w:szCs w:val="22"/>
          </w:rPr>
          <w:tab/>
        </w:r>
        <w:r>
          <w:rPr>
            <w:color w:val="7F7F7F" w:themeColor="text1" w:themeTint="80"/>
            <w:spacing w:val="60"/>
            <w:sz w:val="22"/>
            <w:szCs w:val="22"/>
          </w:rPr>
          <w:tab/>
        </w:r>
        <w:r>
          <w:rPr>
            <w:color w:val="595959" w:themeColor="text1" w:themeTint="A6"/>
            <w:spacing w:val="60"/>
            <w:sz w:val="22"/>
            <w:szCs w:val="22"/>
          </w:rPr>
          <w:t>Página</w:t>
        </w:r>
        <w:r>
          <w:rPr>
            <w:color w:val="595959" w:themeColor="text1" w:themeTint="A6"/>
            <w:sz w:val="22"/>
            <w:szCs w:val="22"/>
          </w:rPr>
          <w:t xml:space="preserve"> </w:t>
        </w:r>
        <w:r>
          <w:rPr>
            <w:color w:val="595959" w:themeColor="text1" w:themeTint="A6"/>
            <w:sz w:val="22"/>
            <w:szCs w:val="22"/>
            <w:shd w:val="clear" w:color="auto" w:fill="E6E6E6"/>
          </w:rPr>
          <w:fldChar w:fldCharType="begin"/>
        </w:r>
        <w:r>
          <w:rPr>
            <w:color w:val="595959" w:themeColor="text1" w:themeTint="A6"/>
            <w:sz w:val="22"/>
            <w:szCs w:val="22"/>
          </w:rPr>
          <w:instrText>PAGE   \* MERGEFORMAT</w:instrText>
        </w:r>
        <w:r>
          <w:rPr>
            <w:color w:val="595959" w:themeColor="text1" w:themeTint="A6"/>
            <w:sz w:val="22"/>
            <w:szCs w:val="22"/>
            <w:shd w:val="clear" w:color="auto" w:fill="E6E6E6"/>
          </w:rPr>
          <w:fldChar w:fldCharType="separate"/>
        </w:r>
        <w:r>
          <w:rPr>
            <w:color w:val="595959" w:themeColor="text1" w:themeTint="A6"/>
            <w:sz w:val="22"/>
            <w:szCs w:val="22"/>
          </w:rPr>
          <w:t>1</w:t>
        </w:r>
        <w:r>
          <w:rPr>
            <w:color w:val="595959" w:themeColor="text1" w:themeTint="A6"/>
            <w:sz w:val="22"/>
            <w:szCs w:val="22"/>
            <w:shd w:val="clear" w:color="auto" w:fill="E6E6E6"/>
          </w:rPr>
          <w:fldChar w:fldCharType="end"/>
        </w:r>
        <w:r>
          <w:rPr>
            <w:color w:val="595959" w:themeColor="text1" w:themeTint="A6"/>
            <w:sz w:val="22"/>
            <w:szCs w:val="22"/>
          </w:rPr>
          <w:t xml:space="preserve"> | </w:t>
        </w:r>
        <w:r>
          <w:rPr>
            <w:color w:val="595959" w:themeColor="text1" w:themeTint="A6"/>
            <w:sz w:val="22"/>
            <w:szCs w:val="22"/>
            <w:shd w:val="clear" w:color="auto" w:fill="E6E6E6"/>
          </w:rPr>
          <w:fldChar w:fldCharType="begin"/>
        </w:r>
        <w:r>
          <w:rPr>
            <w:color w:val="595959" w:themeColor="text1" w:themeTint="A6"/>
            <w:sz w:val="22"/>
            <w:szCs w:val="22"/>
          </w:rPr>
          <w:instrText>NUMPAGES  \* Arabic  \* MERGEFORMAT</w:instrText>
        </w:r>
        <w:r>
          <w:rPr>
            <w:color w:val="595959" w:themeColor="text1" w:themeTint="A6"/>
            <w:sz w:val="22"/>
            <w:szCs w:val="22"/>
            <w:shd w:val="clear" w:color="auto" w:fill="E6E6E6"/>
          </w:rPr>
          <w:fldChar w:fldCharType="separate"/>
        </w:r>
        <w:r>
          <w:rPr>
            <w:color w:val="595959" w:themeColor="text1" w:themeTint="A6"/>
            <w:sz w:val="22"/>
            <w:szCs w:val="22"/>
          </w:rPr>
          <w:t>21</w:t>
        </w:r>
        <w:r>
          <w:rPr>
            <w:color w:val="595959" w:themeColor="text1" w:themeTint="A6"/>
            <w:sz w:val="22"/>
            <w:szCs w:val="22"/>
            <w:shd w:val="clear" w:color="auto" w:fill="E6E6E6"/>
          </w:rPr>
          <w:fldChar w:fldCharType="end"/>
        </w:r>
      </w:p>
      <w:p w14:paraId="138745F2" w14:textId="77777777" w:rsidR="00D14701" w:rsidRDefault="00477D65">
        <w:pPr>
          <w:pStyle w:val="Rodap"/>
          <w:rPr>
            <w:rFonts w:ascii="Rawline" w:hAnsi="Rawline" w:cs="Arial"/>
            <w:sz w:val="12"/>
          </w:rPr>
        </w:pPr>
        <w:r>
          <w:rPr>
            <w:rFonts w:ascii="Rawline" w:hAnsi="Rawline" w:cs="Arial"/>
            <w:sz w:val="12"/>
          </w:rPr>
          <w:t>Câmara Nacional de Modelos de Licitações e Contratos da Consultoria-Geral da União</w:t>
        </w:r>
      </w:p>
      <w:p w14:paraId="47930970" w14:textId="77777777" w:rsidR="00D14701" w:rsidRDefault="00477D65">
        <w:pPr>
          <w:pStyle w:val="Rodap"/>
          <w:rPr>
            <w:rFonts w:ascii="Rawline" w:hAnsi="Rawline" w:cs="Arial"/>
            <w:sz w:val="12"/>
          </w:rPr>
        </w:pPr>
        <w:r>
          <w:rPr>
            <w:rFonts w:ascii="Rawline" w:hAnsi="Rawline" w:cs="Arial"/>
            <w:sz w:val="12"/>
          </w:rPr>
          <w:t>Atualização: maio/2023</w:t>
        </w:r>
      </w:p>
      <w:p w14:paraId="6EDDF430" w14:textId="77777777" w:rsidR="00D14701" w:rsidRDefault="00477D65">
        <w:pPr>
          <w:pStyle w:val="Rodap"/>
          <w:rPr>
            <w:rFonts w:ascii="Rawline" w:hAnsi="Rawline"/>
            <w:color w:val="0F243E"/>
            <w:sz w:val="22"/>
            <w:szCs w:val="22"/>
          </w:rPr>
        </w:pPr>
        <w:r>
          <w:rPr>
            <w:rFonts w:ascii="Rawline" w:hAnsi="Rawline" w:cs="Arial"/>
            <w:sz w:val="12"/>
            <w:szCs w:val="12"/>
          </w:rPr>
          <w:t>Termo de Referência Aquisições – Licitação - Modelo para Pregão Eletrônico</w:t>
        </w:r>
        <w:r>
          <w:rPr>
            <w:rFonts w:ascii="Rawline" w:hAnsi="Rawline" w:cs="Arial"/>
            <w:sz w:val="12"/>
            <w:szCs w:val="12"/>
          </w:rPr>
          <w:tab/>
        </w:r>
        <w:r>
          <w:rPr>
            <w:rFonts w:ascii="Rawline" w:hAnsi="Rawline" w:cs="Arial"/>
            <w:sz w:val="12"/>
            <w:szCs w:val="12"/>
          </w:rPr>
          <w:tab/>
        </w:r>
      </w:p>
      <w:p w14:paraId="53EDC1DC" w14:textId="77777777" w:rsidR="00D14701" w:rsidRDefault="00477D65">
        <w:pPr>
          <w:pStyle w:val="Rodap"/>
          <w:rPr>
            <w:rFonts w:ascii="Rawline" w:hAnsi="Rawline"/>
            <w:sz w:val="12"/>
            <w:szCs w:val="12"/>
          </w:rPr>
        </w:pPr>
        <w:r>
          <w:rPr>
            <w:rFonts w:ascii="Rawline" w:hAnsi="Rawline"/>
            <w:sz w:val="12"/>
            <w:szCs w:val="12"/>
          </w:rPr>
          <w:t>Aprovado pela Secretaria de Gestão.</w:t>
        </w:r>
      </w:p>
      <w:p w14:paraId="6332E877" w14:textId="77777777" w:rsidR="00D14701" w:rsidRDefault="00477D65">
        <w:pPr>
          <w:pStyle w:val="Rodap"/>
          <w:rPr>
            <w:rFonts w:ascii="Rawline" w:hAnsi="Rawline"/>
          </w:rPr>
        </w:pPr>
        <w:r>
          <w:rPr>
            <w:rFonts w:ascii="Rawline" w:hAnsi="Rawline"/>
            <w:sz w:val="12"/>
            <w:szCs w:val="12"/>
          </w:rPr>
          <w:t>Identidade visual pela Secretaria de Gestão (versão dezembro/2022)</w:t>
        </w:r>
      </w:p>
    </w:sdtContent>
  </w:sdt>
  <w:p w14:paraId="330D0B60" w14:textId="77777777" w:rsidR="00D14701" w:rsidRDefault="00D147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A3C2B" w14:textId="77777777" w:rsidR="00D14701" w:rsidRDefault="00477D65">
      <w:r>
        <w:separator/>
      </w:r>
    </w:p>
  </w:footnote>
  <w:footnote w:type="continuationSeparator" w:id="0">
    <w:p w14:paraId="6A62EC60" w14:textId="77777777" w:rsidR="00D14701" w:rsidRDefault="00477D65">
      <w:r>
        <w:continuationSeparator/>
      </w:r>
    </w:p>
  </w:footnote>
  <w:footnote w:type="continuationNotice" w:id="1">
    <w:p w14:paraId="4A4ABC77" w14:textId="77777777" w:rsidR="00D14701" w:rsidRDefault="00D14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21E8B" w14:textId="77777777" w:rsidR="00D14701" w:rsidRDefault="00477D65">
    <w:pPr>
      <w:pStyle w:val="Cabealho"/>
      <w:jc w:val="right"/>
      <w:rPr>
        <w:rFonts w:ascii="Arial" w:hAnsi="Arial" w:cs="Arial"/>
        <w:sz w:val="20"/>
        <w:szCs w:val="20"/>
      </w:rPr>
    </w:pPr>
    <w:r>
      <w:rPr>
        <w:rFonts w:ascii="Arial" w:hAnsi="Arial" w:cs="Arial"/>
        <w:sz w:val="20"/>
        <w:szCs w:val="20"/>
      </w:rPr>
      <w:t>TERMO DE REFERÊNCIA - AQUISIÇÕES - LICITAÇÃO</w:t>
    </w:r>
  </w:p>
  <w:p w14:paraId="289ABAED" w14:textId="77777777" w:rsidR="00D14701" w:rsidRDefault="00D1470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294B"/>
    <w:multiLevelType w:val="hybridMultilevel"/>
    <w:tmpl w:val="0416001D"/>
    <w:styleLink w:val="Estilo6"/>
    <w:lvl w:ilvl="0" w:tplc="C706BFB8">
      <w:start w:val="61"/>
      <w:numFmt w:val="decimal"/>
      <w:pStyle w:val="Estilo6"/>
      <w:lvlText w:val="%1)"/>
      <w:lvlJc w:val="left"/>
      <w:pPr>
        <w:ind w:left="360" w:hanging="360"/>
      </w:pPr>
    </w:lvl>
    <w:lvl w:ilvl="1" w:tplc="82B83924">
      <w:start w:val="1"/>
      <w:numFmt w:val="lowerLetter"/>
      <w:lvlText w:val="%2)"/>
      <w:lvlJc w:val="left"/>
      <w:pPr>
        <w:ind w:left="720" w:hanging="360"/>
      </w:pPr>
    </w:lvl>
    <w:lvl w:ilvl="2" w:tplc="945ACB28">
      <w:start w:val="1"/>
      <w:numFmt w:val="lowerRoman"/>
      <w:lvlText w:val="%3)"/>
      <w:lvlJc w:val="left"/>
      <w:pPr>
        <w:ind w:left="1080" w:hanging="360"/>
      </w:pPr>
    </w:lvl>
    <w:lvl w:ilvl="3" w:tplc="6AEC4650">
      <w:start w:val="1"/>
      <w:numFmt w:val="decimal"/>
      <w:lvlText w:val="(%4)"/>
      <w:lvlJc w:val="left"/>
      <w:pPr>
        <w:ind w:left="1440" w:hanging="360"/>
      </w:pPr>
    </w:lvl>
    <w:lvl w:ilvl="4" w:tplc="E81CFA5E">
      <w:start w:val="1"/>
      <w:numFmt w:val="lowerLetter"/>
      <w:lvlText w:val="(%5)"/>
      <w:lvlJc w:val="left"/>
      <w:pPr>
        <w:ind w:left="1800" w:hanging="360"/>
      </w:pPr>
    </w:lvl>
    <w:lvl w:ilvl="5" w:tplc="95BCD6AE">
      <w:start w:val="1"/>
      <w:numFmt w:val="lowerRoman"/>
      <w:lvlText w:val="(%6)"/>
      <w:lvlJc w:val="left"/>
      <w:pPr>
        <w:ind w:left="2160" w:hanging="360"/>
      </w:pPr>
    </w:lvl>
    <w:lvl w:ilvl="6" w:tplc="7034E254">
      <w:start w:val="1"/>
      <w:numFmt w:val="decimal"/>
      <w:lvlText w:val="%7."/>
      <w:lvlJc w:val="left"/>
      <w:pPr>
        <w:ind w:left="2520" w:hanging="360"/>
      </w:pPr>
    </w:lvl>
    <w:lvl w:ilvl="7" w:tplc="53344F18">
      <w:start w:val="1"/>
      <w:numFmt w:val="lowerLetter"/>
      <w:lvlText w:val="%8."/>
      <w:lvlJc w:val="left"/>
      <w:pPr>
        <w:ind w:left="2880" w:hanging="360"/>
      </w:pPr>
    </w:lvl>
    <w:lvl w:ilvl="8" w:tplc="BB58B210">
      <w:start w:val="1"/>
      <w:numFmt w:val="lowerRoman"/>
      <w:lvlText w:val="%9."/>
      <w:lvlJc w:val="left"/>
      <w:pPr>
        <w:ind w:left="3240" w:hanging="360"/>
      </w:pPr>
    </w:lvl>
  </w:abstractNum>
  <w:abstractNum w:abstractNumId="1" w15:restartNumberingAfterBreak="0">
    <w:nsid w:val="15D1310D"/>
    <w:multiLevelType w:val="hybridMultilevel"/>
    <w:tmpl w:val="1A2C9130"/>
    <w:lvl w:ilvl="0" w:tplc="50788656">
      <w:start w:val="1"/>
      <w:numFmt w:val="bullet"/>
      <w:lvlText w:val=""/>
      <w:lvlJc w:val="left"/>
      <w:pPr>
        <w:ind w:left="720" w:hanging="360"/>
      </w:pPr>
      <w:rPr>
        <w:rFonts w:ascii="Symbol" w:hAnsi="Symbol" w:hint="default"/>
        <w:color w:val="auto"/>
      </w:rPr>
    </w:lvl>
    <w:lvl w:ilvl="1" w:tplc="15B28DC4">
      <w:start w:val="1"/>
      <w:numFmt w:val="bullet"/>
      <w:lvlText w:val="o"/>
      <w:lvlJc w:val="left"/>
      <w:pPr>
        <w:ind w:left="1440" w:hanging="360"/>
      </w:pPr>
      <w:rPr>
        <w:rFonts w:ascii="Courier New" w:hAnsi="Courier New" w:cs="Courier New" w:hint="default"/>
      </w:rPr>
    </w:lvl>
    <w:lvl w:ilvl="2" w:tplc="383CB874">
      <w:start w:val="1"/>
      <w:numFmt w:val="bullet"/>
      <w:lvlText w:val=""/>
      <w:lvlJc w:val="left"/>
      <w:pPr>
        <w:ind w:left="2160" w:hanging="360"/>
      </w:pPr>
      <w:rPr>
        <w:rFonts w:ascii="Wingdings" w:hAnsi="Wingdings" w:hint="default"/>
      </w:rPr>
    </w:lvl>
    <w:lvl w:ilvl="3" w:tplc="EA36E0EA">
      <w:start w:val="1"/>
      <w:numFmt w:val="bullet"/>
      <w:lvlText w:val=""/>
      <w:lvlJc w:val="left"/>
      <w:pPr>
        <w:ind w:left="2880" w:hanging="360"/>
      </w:pPr>
      <w:rPr>
        <w:rFonts w:ascii="Symbol" w:hAnsi="Symbol" w:hint="default"/>
      </w:rPr>
    </w:lvl>
    <w:lvl w:ilvl="4" w:tplc="2272BFAA">
      <w:start w:val="1"/>
      <w:numFmt w:val="bullet"/>
      <w:lvlText w:val="o"/>
      <w:lvlJc w:val="left"/>
      <w:pPr>
        <w:ind w:left="3600" w:hanging="360"/>
      </w:pPr>
      <w:rPr>
        <w:rFonts w:ascii="Courier New" w:hAnsi="Courier New" w:cs="Courier New" w:hint="default"/>
      </w:rPr>
    </w:lvl>
    <w:lvl w:ilvl="5" w:tplc="98186398">
      <w:start w:val="1"/>
      <w:numFmt w:val="bullet"/>
      <w:lvlText w:val=""/>
      <w:lvlJc w:val="left"/>
      <w:pPr>
        <w:ind w:left="4320" w:hanging="360"/>
      </w:pPr>
      <w:rPr>
        <w:rFonts w:ascii="Wingdings" w:hAnsi="Wingdings" w:hint="default"/>
      </w:rPr>
    </w:lvl>
    <w:lvl w:ilvl="6" w:tplc="1CBA7BEE">
      <w:start w:val="1"/>
      <w:numFmt w:val="bullet"/>
      <w:lvlText w:val=""/>
      <w:lvlJc w:val="left"/>
      <w:pPr>
        <w:ind w:left="5040" w:hanging="360"/>
      </w:pPr>
      <w:rPr>
        <w:rFonts w:ascii="Symbol" w:hAnsi="Symbol" w:hint="default"/>
      </w:rPr>
    </w:lvl>
    <w:lvl w:ilvl="7" w:tplc="F58CAA84">
      <w:start w:val="1"/>
      <w:numFmt w:val="bullet"/>
      <w:lvlText w:val="o"/>
      <w:lvlJc w:val="left"/>
      <w:pPr>
        <w:ind w:left="5760" w:hanging="360"/>
      </w:pPr>
      <w:rPr>
        <w:rFonts w:ascii="Courier New" w:hAnsi="Courier New" w:cs="Courier New" w:hint="default"/>
      </w:rPr>
    </w:lvl>
    <w:lvl w:ilvl="8" w:tplc="2A268192">
      <w:start w:val="1"/>
      <w:numFmt w:val="bullet"/>
      <w:lvlText w:val=""/>
      <w:lvlJc w:val="left"/>
      <w:pPr>
        <w:ind w:left="6480" w:hanging="360"/>
      </w:pPr>
      <w:rPr>
        <w:rFonts w:ascii="Wingdings" w:hAnsi="Wingdings" w:hint="default"/>
      </w:rPr>
    </w:lvl>
  </w:abstractNum>
  <w:abstractNum w:abstractNumId="2" w15:restartNumberingAfterBreak="0">
    <w:nsid w:val="18AD58B2"/>
    <w:multiLevelType w:val="multilevel"/>
    <w:tmpl w:val="CCCC579A"/>
    <w:lvl w:ilvl="0">
      <w:start w:val="1"/>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835" w:hanging="432"/>
      </w:pPr>
      <w:rPr>
        <w:rFonts w:hint="default"/>
        <w:b w:val="0"/>
        <w:bCs w:val="0"/>
        <w:i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2">
      <w:start w:val="1"/>
      <w:numFmt w:val="decimal"/>
      <w:lvlText w:val="%1.%2.%3."/>
      <w:lvlJc w:val="left"/>
      <w:pPr>
        <w:ind w:left="646" w:hanging="504"/>
      </w:pPr>
      <w:rPr>
        <w:rFonts w:ascii="Arial" w:hAnsi="Arial" w:cs="Arial" w:hint="default"/>
        <w:b w:val="0"/>
        <w:bCs w:val="0"/>
        <w:i w:val="0"/>
        <w:caps w:val="0"/>
        <w:smallCaps w:val="0"/>
        <w:strike w:val="0"/>
        <w:vanish w:val="0"/>
        <w:color w:val="000000"/>
        <w:spacing w:val="0"/>
        <w:position w:val="0"/>
        <w:sz w:val="22"/>
        <w:szCs w:val="22"/>
        <w:u w:val="none"/>
        <w:vertAlign w:val="baseline"/>
        <w14:textOutline w14:w="0" w14:cap="rnd" w14:cmpd="sng" w14:algn="ctr">
          <w14:noFill/>
          <w14:prstDash w14:val="solid"/>
          <w14:bevel/>
        </w14:textOutline>
      </w:rPr>
    </w:lvl>
    <w:lvl w:ilvl="3">
      <w:start w:val="1"/>
      <w:numFmt w:val="decimal"/>
      <w:lvlText w:val="%1.%2.%3.%4."/>
      <w:lvlJc w:val="left"/>
      <w:pPr>
        <w:ind w:left="1728" w:hanging="648"/>
      </w:pPr>
      <w:rPr>
        <w:rFonts w:hint="default"/>
        <w:b w:val="0"/>
        <w:bCs w:val="0"/>
        <w:i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F1556B"/>
    <w:multiLevelType w:val="multilevel"/>
    <w:tmpl w:val="55ECC58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AB6404"/>
    <w:multiLevelType w:val="multilevel"/>
    <w:tmpl w:val="6DF0FC0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7F1A94"/>
    <w:multiLevelType w:val="multilevel"/>
    <w:tmpl w:val="CA861B3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8057C3"/>
    <w:multiLevelType w:val="multilevel"/>
    <w:tmpl w:val="35EC2C10"/>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31576E"/>
    <w:multiLevelType w:val="hybridMultilevel"/>
    <w:tmpl w:val="D0FE60C0"/>
    <w:lvl w:ilvl="0" w:tplc="10F83704">
      <w:start w:val="1"/>
      <w:numFmt w:val="bullet"/>
      <w:lvlText w:val=""/>
      <w:lvlJc w:val="left"/>
      <w:pPr>
        <w:ind w:left="720" w:hanging="360"/>
      </w:pPr>
      <w:rPr>
        <w:rFonts w:ascii="Symbol" w:hAnsi="Symbol" w:hint="default"/>
        <w:color w:val="auto"/>
      </w:rPr>
    </w:lvl>
    <w:lvl w:ilvl="1" w:tplc="F426E2D6">
      <w:start w:val="1"/>
      <w:numFmt w:val="bullet"/>
      <w:lvlText w:val="o"/>
      <w:lvlJc w:val="left"/>
      <w:pPr>
        <w:ind w:left="1440" w:hanging="360"/>
      </w:pPr>
      <w:rPr>
        <w:rFonts w:ascii="Courier New" w:hAnsi="Courier New" w:cs="Courier New" w:hint="default"/>
      </w:rPr>
    </w:lvl>
    <w:lvl w:ilvl="2" w:tplc="C81EB62E">
      <w:start w:val="1"/>
      <w:numFmt w:val="bullet"/>
      <w:lvlText w:val=""/>
      <w:lvlJc w:val="left"/>
      <w:pPr>
        <w:ind w:left="2160" w:hanging="360"/>
      </w:pPr>
      <w:rPr>
        <w:rFonts w:ascii="Wingdings" w:hAnsi="Wingdings" w:hint="default"/>
      </w:rPr>
    </w:lvl>
    <w:lvl w:ilvl="3" w:tplc="8D5EF656">
      <w:start w:val="1"/>
      <w:numFmt w:val="bullet"/>
      <w:lvlText w:val=""/>
      <w:lvlJc w:val="left"/>
      <w:pPr>
        <w:ind w:left="2880" w:hanging="360"/>
      </w:pPr>
      <w:rPr>
        <w:rFonts w:ascii="Symbol" w:hAnsi="Symbol" w:hint="default"/>
      </w:rPr>
    </w:lvl>
    <w:lvl w:ilvl="4" w:tplc="D6F88BDA">
      <w:start w:val="1"/>
      <w:numFmt w:val="bullet"/>
      <w:lvlText w:val="o"/>
      <w:lvlJc w:val="left"/>
      <w:pPr>
        <w:ind w:left="3600" w:hanging="360"/>
      </w:pPr>
      <w:rPr>
        <w:rFonts w:ascii="Courier New" w:hAnsi="Courier New" w:cs="Courier New" w:hint="default"/>
      </w:rPr>
    </w:lvl>
    <w:lvl w:ilvl="5" w:tplc="C6F68670">
      <w:start w:val="1"/>
      <w:numFmt w:val="bullet"/>
      <w:lvlText w:val=""/>
      <w:lvlJc w:val="left"/>
      <w:pPr>
        <w:ind w:left="4320" w:hanging="360"/>
      </w:pPr>
      <w:rPr>
        <w:rFonts w:ascii="Wingdings" w:hAnsi="Wingdings" w:hint="default"/>
      </w:rPr>
    </w:lvl>
    <w:lvl w:ilvl="6" w:tplc="11D69D12">
      <w:start w:val="1"/>
      <w:numFmt w:val="bullet"/>
      <w:lvlText w:val=""/>
      <w:lvlJc w:val="left"/>
      <w:pPr>
        <w:ind w:left="5040" w:hanging="360"/>
      </w:pPr>
      <w:rPr>
        <w:rFonts w:ascii="Symbol" w:hAnsi="Symbol" w:hint="default"/>
      </w:rPr>
    </w:lvl>
    <w:lvl w:ilvl="7" w:tplc="5FAE34D6">
      <w:start w:val="1"/>
      <w:numFmt w:val="bullet"/>
      <w:lvlText w:val="o"/>
      <w:lvlJc w:val="left"/>
      <w:pPr>
        <w:ind w:left="5760" w:hanging="360"/>
      </w:pPr>
      <w:rPr>
        <w:rFonts w:ascii="Courier New" w:hAnsi="Courier New" w:cs="Courier New" w:hint="default"/>
      </w:rPr>
    </w:lvl>
    <w:lvl w:ilvl="8" w:tplc="81922B3A">
      <w:start w:val="1"/>
      <w:numFmt w:val="bullet"/>
      <w:lvlText w:val=""/>
      <w:lvlJc w:val="left"/>
      <w:pPr>
        <w:ind w:left="6480" w:hanging="360"/>
      </w:pPr>
      <w:rPr>
        <w:rFonts w:ascii="Wingdings" w:hAnsi="Wingdings" w:hint="default"/>
      </w:rPr>
    </w:lvl>
  </w:abstractNum>
  <w:abstractNum w:abstractNumId="8" w15:restartNumberingAfterBreak="0">
    <w:nsid w:val="31A543E1"/>
    <w:multiLevelType w:val="hybridMultilevel"/>
    <w:tmpl w:val="9BA6BA56"/>
    <w:lvl w:ilvl="0" w:tplc="299463F2">
      <w:start w:val="1"/>
      <w:numFmt w:val="bullet"/>
      <w:pStyle w:val="Nivel3-erro"/>
      <w:lvlText w:val="o"/>
      <w:lvlJc w:val="left"/>
      <w:pPr>
        <w:ind w:left="720" w:hanging="360"/>
      </w:pPr>
      <w:rPr>
        <w:rFonts w:ascii="Courier New" w:hAnsi="Courier New" w:hint="default"/>
      </w:rPr>
    </w:lvl>
    <w:lvl w:ilvl="1" w:tplc="DA36F848">
      <w:start w:val="1"/>
      <w:numFmt w:val="bullet"/>
      <w:lvlText w:val="o"/>
      <w:lvlJc w:val="left"/>
      <w:pPr>
        <w:ind w:left="1440" w:hanging="360"/>
      </w:pPr>
      <w:rPr>
        <w:rFonts w:ascii="Courier New" w:hAnsi="Courier New" w:hint="default"/>
      </w:rPr>
    </w:lvl>
    <w:lvl w:ilvl="2" w:tplc="6E784D30">
      <w:start w:val="1"/>
      <w:numFmt w:val="bullet"/>
      <w:pStyle w:val="Nivel3-erro"/>
      <w:lvlText w:val=""/>
      <w:lvlJc w:val="left"/>
      <w:pPr>
        <w:ind w:left="2160" w:hanging="360"/>
      </w:pPr>
      <w:rPr>
        <w:rFonts w:ascii="Wingdings" w:hAnsi="Wingdings" w:hint="default"/>
      </w:rPr>
    </w:lvl>
    <w:lvl w:ilvl="3" w:tplc="A6743214">
      <w:start w:val="1"/>
      <w:numFmt w:val="bullet"/>
      <w:lvlText w:val=""/>
      <w:lvlJc w:val="left"/>
      <w:pPr>
        <w:ind w:left="2880" w:hanging="360"/>
      </w:pPr>
      <w:rPr>
        <w:rFonts w:ascii="Symbol" w:hAnsi="Symbol" w:hint="default"/>
      </w:rPr>
    </w:lvl>
    <w:lvl w:ilvl="4" w:tplc="8D6025B2">
      <w:start w:val="1"/>
      <w:numFmt w:val="bullet"/>
      <w:lvlText w:val="o"/>
      <w:lvlJc w:val="left"/>
      <w:pPr>
        <w:ind w:left="3600" w:hanging="360"/>
      </w:pPr>
      <w:rPr>
        <w:rFonts w:ascii="Courier New" w:hAnsi="Courier New" w:hint="default"/>
      </w:rPr>
    </w:lvl>
    <w:lvl w:ilvl="5" w:tplc="8ADA5848">
      <w:start w:val="1"/>
      <w:numFmt w:val="bullet"/>
      <w:lvlText w:val=""/>
      <w:lvlJc w:val="left"/>
      <w:pPr>
        <w:ind w:left="4320" w:hanging="360"/>
      </w:pPr>
      <w:rPr>
        <w:rFonts w:ascii="Wingdings" w:hAnsi="Wingdings" w:hint="default"/>
      </w:rPr>
    </w:lvl>
    <w:lvl w:ilvl="6" w:tplc="382A29C4">
      <w:start w:val="1"/>
      <w:numFmt w:val="bullet"/>
      <w:lvlText w:val=""/>
      <w:lvlJc w:val="left"/>
      <w:pPr>
        <w:ind w:left="5040" w:hanging="360"/>
      </w:pPr>
      <w:rPr>
        <w:rFonts w:ascii="Symbol" w:hAnsi="Symbol" w:hint="default"/>
      </w:rPr>
    </w:lvl>
    <w:lvl w:ilvl="7" w:tplc="C9E25CA0">
      <w:start w:val="1"/>
      <w:numFmt w:val="bullet"/>
      <w:lvlText w:val="o"/>
      <w:lvlJc w:val="left"/>
      <w:pPr>
        <w:ind w:left="5760" w:hanging="360"/>
      </w:pPr>
      <w:rPr>
        <w:rFonts w:ascii="Courier New" w:hAnsi="Courier New" w:hint="default"/>
      </w:rPr>
    </w:lvl>
    <w:lvl w:ilvl="8" w:tplc="D47089B4">
      <w:start w:val="1"/>
      <w:numFmt w:val="bullet"/>
      <w:lvlText w:val=""/>
      <w:lvlJc w:val="left"/>
      <w:pPr>
        <w:ind w:left="6480" w:hanging="360"/>
      </w:pPr>
      <w:rPr>
        <w:rFonts w:ascii="Wingdings" w:hAnsi="Wingdings" w:hint="default"/>
      </w:rPr>
    </w:lvl>
  </w:abstractNum>
  <w:abstractNum w:abstractNumId="9" w15:restartNumberingAfterBreak="0">
    <w:nsid w:val="37CC4881"/>
    <w:multiLevelType w:val="hybridMultilevel"/>
    <w:tmpl w:val="84F4E75C"/>
    <w:lvl w:ilvl="0" w:tplc="570261F6">
      <w:start w:val="1"/>
      <w:numFmt w:val="bullet"/>
      <w:lvlText w:val=""/>
      <w:lvlJc w:val="left"/>
      <w:pPr>
        <w:ind w:left="720" w:hanging="360"/>
      </w:pPr>
      <w:rPr>
        <w:rFonts w:ascii="Symbol" w:hAnsi="Symbol" w:hint="default"/>
        <w:color w:val="auto"/>
      </w:rPr>
    </w:lvl>
    <w:lvl w:ilvl="1" w:tplc="963C0938">
      <w:start w:val="1"/>
      <w:numFmt w:val="bullet"/>
      <w:lvlText w:val="o"/>
      <w:lvlJc w:val="left"/>
      <w:pPr>
        <w:ind w:left="1440" w:hanging="360"/>
      </w:pPr>
      <w:rPr>
        <w:rFonts w:ascii="Courier New" w:hAnsi="Courier New" w:cs="Courier New" w:hint="default"/>
      </w:rPr>
    </w:lvl>
    <w:lvl w:ilvl="2" w:tplc="10304FD6">
      <w:start w:val="1"/>
      <w:numFmt w:val="bullet"/>
      <w:lvlText w:val=""/>
      <w:lvlJc w:val="left"/>
      <w:pPr>
        <w:ind w:left="2160" w:hanging="360"/>
      </w:pPr>
      <w:rPr>
        <w:rFonts w:ascii="Wingdings" w:hAnsi="Wingdings" w:hint="default"/>
      </w:rPr>
    </w:lvl>
    <w:lvl w:ilvl="3" w:tplc="1DDC022E">
      <w:start w:val="1"/>
      <w:numFmt w:val="bullet"/>
      <w:lvlText w:val=""/>
      <w:lvlJc w:val="left"/>
      <w:pPr>
        <w:ind w:left="2880" w:hanging="360"/>
      </w:pPr>
      <w:rPr>
        <w:rFonts w:ascii="Symbol" w:hAnsi="Symbol" w:hint="default"/>
      </w:rPr>
    </w:lvl>
    <w:lvl w:ilvl="4" w:tplc="059EC312">
      <w:start w:val="1"/>
      <w:numFmt w:val="bullet"/>
      <w:lvlText w:val="o"/>
      <w:lvlJc w:val="left"/>
      <w:pPr>
        <w:ind w:left="3600" w:hanging="360"/>
      </w:pPr>
      <w:rPr>
        <w:rFonts w:ascii="Courier New" w:hAnsi="Courier New" w:cs="Courier New" w:hint="default"/>
      </w:rPr>
    </w:lvl>
    <w:lvl w:ilvl="5" w:tplc="28885E2C">
      <w:start w:val="1"/>
      <w:numFmt w:val="bullet"/>
      <w:lvlText w:val=""/>
      <w:lvlJc w:val="left"/>
      <w:pPr>
        <w:ind w:left="4320" w:hanging="360"/>
      </w:pPr>
      <w:rPr>
        <w:rFonts w:ascii="Wingdings" w:hAnsi="Wingdings" w:hint="default"/>
      </w:rPr>
    </w:lvl>
    <w:lvl w:ilvl="6" w:tplc="5AB68BDE">
      <w:start w:val="1"/>
      <w:numFmt w:val="bullet"/>
      <w:lvlText w:val=""/>
      <w:lvlJc w:val="left"/>
      <w:pPr>
        <w:ind w:left="5040" w:hanging="360"/>
      </w:pPr>
      <w:rPr>
        <w:rFonts w:ascii="Symbol" w:hAnsi="Symbol" w:hint="default"/>
      </w:rPr>
    </w:lvl>
    <w:lvl w:ilvl="7" w:tplc="4CBA073C">
      <w:start w:val="1"/>
      <w:numFmt w:val="bullet"/>
      <w:lvlText w:val="o"/>
      <w:lvlJc w:val="left"/>
      <w:pPr>
        <w:ind w:left="5760" w:hanging="360"/>
      </w:pPr>
      <w:rPr>
        <w:rFonts w:ascii="Courier New" w:hAnsi="Courier New" w:cs="Courier New" w:hint="default"/>
      </w:rPr>
    </w:lvl>
    <w:lvl w:ilvl="8" w:tplc="0350780C">
      <w:start w:val="1"/>
      <w:numFmt w:val="bullet"/>
      <w:lvlText w:val=""/>
      <w:lvlJc w:val="left"/>
      <w:pPr>
        <w:ind w:left="6480" w:hanging="360"/>
      </w:pPr>
      <w:rPr>
        <w:rFonts w:ascii="Wingdings" w:hAnsi="Wingdings" w:hint="default"/>
      </w:rPr>
    </w:lvl>
  </w:abstractNum>
  <w:abstractNum w:abstractNumId="10" w15:restartNumberingAfterBreak="0">
    <w:nsid w:val="38A41D10"/>
    <w:multiLevelType w:val="multilevel"/>
    <w:tmpl w:val="36AA65B4"/>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061328"/>
    <w:multiLevelType w:val="multilevel"/>
    <w:tmpl w:val="2F6E0FEA"/>
    <w:lvl w:ilvl="0">
      <w:start w:val="1"/>
      <w:numFmt w:val="decimal"/>
      <w:pStyle w:val="Breno1"/>
      <w:lvlText w:val="%1."/>
      <w:lvlJc w:val="left"/>
      <w:pPr>
        <w:ind w:left="360" w:hanging="360"/>
      </w:pPr>
      <w:rPr>
        <w:rFonts w:asciiTheme="minorHAnsi" w:hAnsiTheme="minorHAnsi" w:cstheme="minorHAnsi" w:hint="default"/>
        <w:b/>
        <w:sz w:val="22"/>
        <w:szCs w:val="22"/>
      </w:rPr>
    </w:lvl>
    <w:lvl w:ilvl="1">
      <w:start w:val="1"/>
      <w:numFmt w:val="decimal"/>
      <w:pStyle w:val="Breno2"/>
      <w:lvlText w:val="%1.%2."/>
      <w:lvlJc w:val="left"/>
      <w:pPr>
        <w:ind w:left="3835" w:hanging="432"/>
      </w:pPr>
      <w:rPr>
        <w:rFonts w:hint="default"/>
        <w:b w:val="0"/>
        <w:bCs w:val="0"/>
        <w:i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2">
      <w:start w:val="1"/>
      <w:numFmt w:val="decimal"/>
      <w:pStyle w:val="Breno31"/>
      <w:lvlText w:val="%1.%2.%3."/>
      <w:lvlJc w:val="left"/>
      <w:pPr>
        <w:ind w:left="646" w:hanging="504"/>
      </w:pPr>
      <w:rPr>
        <w:rFonts w:ascii="Arial" w:hAnsi="Arial" w:cs="Arial" w:hint="default"/>
        <w:b w:val="0"/>
        <w:bCs w:val="0"/>
        <w:i w:val="0"/>
        <w:caps w:val="0"/>
        <w:smallCaps w:val="0"/>
        <w:strike w:val="0"/>
        <w:vanish w:val="0"/>
        <w:color w:val="000000"/>
        <w:spacing w:val="0"/>
        <w:position w:val="0"/>
        <w:sz w:val="22"/>
        <w:szCs w:val="22"/>
        <w:u w:val="none"/>
        <w:vertAlign w:val="baseline"/>
        <w14:textOutline w14:w="0" w14:cap="rnd" w14:cmpd="sng" w14:algn="ctr">
          <w14:noFill/>
          <w14:prstDash w14:val="solid"/>
          <w14:bevel/>
        </w14:textOutline>
      </w:rPr>
    </w:lvl>
    <w:lvl w:ilvl="3">
      <w:start w:val="1"/>
      <w:numFmt w:val="decimal"/>
      <w:pStyle w:val="BRENO"/>
      <w:lvlText w:val="%1.%2.%3.%4."/>
      <w:lvlJc w:val="left"/>
      <w:pPr>
        <w:ind w:left="1728" w:hanging="648"/>
      </w:pPr>
      <w:rPr>
        <w:rFonts w:hint="default"/>
        <w:b w:val="0"/>
        <w:bCs w:val="0"/>
        <w:i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B05A7D"/>
    <w:multiLevelType w:val="hybridMultilevel"/>
    <w:tmpl w:val="7958A454"/>
    <w:lvl w:ilvl="0" w:tplc="9EDE14DE">
      <w:start w:val="1"/>
      <w:numFmt w:val="bullet"/>
      <w:lvlText w:val=""/>
      <w:lvlJc w:val="left"/>
      <w:pPr>
        <w:ind w:left="720" w:hanging="360"/>
      </w:pPr>
      <w:rPr>
        <w:rFonts w:ascii="Symbol" w:hAnsi="Symbol" w:hint="default"/>
        <w:color w:val="auto"/>
      </w:rPr>
    </w:lvl>
    <w:lvl w:ilvl="1" w:tplc="0860B7F6">
      <w:start w:val="1"/>
      <w:numFmt w:val="bullet"/>
      <w:lvlText w:val="o"/>
      <w:lvlJc w:val="left"/>
      <w:pPr>
        <w:ind w:left="1440" w:hanging="360"/>
      </w:pPr>
      <w:rPr>
        <w:rFonts w:ascii="Courier New" w:hAnsi="Courier New" w:cs="Courier New" w:hint="default"/>
      </w:rPr>
    </w:lvl>
    <w:lvl w:ilvl="2" w:tplc="08E8299C">
      <w:start w:val="1"/>
      <w:numFmt w:val="bullet"/>
      <w:lvlText w:val=""/>
      <w:lvlJc w:val="left"/>
      <w:pPr>
        <w:ind w:left="2160" w:hanging="360"/>
      </w:pPr>
      <w:rPr>
        <w:rFonts w:ascii="Wingdings" w:hAnsi="Wingdings" w:hint="default"/>
      </w:rPr>
    </w:lvl>
    <w:lvl w:ilvl="3" w:tplc="C590C900">
      <w:start w:val="1"/>
      <w:numFmt w:val="bullet"/>
      <w:lvlText w:val=""/>
      <w:lvlJc w:val="left"/>
      <w:pPr>
        <w:ind w:left="2880" w:hanging="360"/>
      </w:pPr>
      <w:rPr>
        <w:rFonts w:ascii="Symbol" w:hAnsi="Symbol" w:hint="default"/>
      </w:rPr>
    </w:lvl>
    <w:lvl w:ilvl="4" w:tplc="B784E4AA">
      <w:start w:val="1"/>
      <w:numFmt w:val="bullet"/>
      <w:lvlText w:val="o"/>
      <w:lvlJc w:val="left"/>
      <w:pPr>
        <w:ind w:left="3600" w:hanging="360"/>
      </w:pPr>
      <w:rPr>
        <w:rFonts w:ascii="Courier New" w:hAnsi="Courier New" w:cs="Courier New" w:hint="default"/>
      </w:rPr>
    </w:lvl>
    <w:lvl w:ilvl="5" w:tplc="CE04EF34">
      <w:start w:val="1"/>
      <w:numFmt w:val="bullet"/>
      <w:lvlText w:val=""/>
      <w:lvlJc w:val="left"/>
      <w:pPr>
        <w:ind w:left="4320" w:hanging="360"/>
      </w:pPr>
      <w:rPr>
        <w:rFonts w:ascii="Wingdings" w:hAnsi="Wingdings" w:hint="default"/>
      </w:rPr>
    </w:lvl>
    <w:lvl w:ilvl="6" w:tplc="5EC07124">
      <w:start w:val="1"/>
      <w:numFmt w:val="bullet"/>
      <w:lvlText w:val=""/>
      <w:lvlJc w:val="left"/>
      <w:pPr>
        <w:ind w:left="5040" w:hanging="360"/>
      </w:pPr>
      <w:rPr>
        <w:rFonts w:ascii="Symbol" w:hAnsi="Symbol" w:hint="default"/>
      </w:rPr>
    </w:lvl>
    <w:lvl w:ilvl="7" w:tplc="D284BDBA">
      <w:start w:val="1"/>
      <w:numFmt w:val="bullet"/>
      <w:lvlText w:val="o"/>
      <w:lvlJc w:val="left"/>
      <w:pPr>
        <w:ind w:left="5760" w:hanging="360"/>
      </w:pPr>
      <w:rPr>
        <w:rFonts w:ascii="Courier New" w:hAnsi="Courier New" w:cs="Courier New" w:hint="default"/>
      </w:rPr>
    </w:lvl>
    <w:lvl w:ilvl="8" w:tplc="2BC47E82">
      <w:start w:val="1"/>
      <w:numFmt w:val="bullet"/>
      <w:lvlText w:val=""/>
      <w:lvlJc w:val="left"/>
      <w:pPr>
        <w:ind w:left="6480" w:hanging="360"/>
      </w:pPr>
      <w:rPr>
        <w:rFonts w:ascii="Wingdings" w:hAnsi="Wingdings" w:hint="default"/>
      </w:rPr>
    </w:lvl>
  </w:abstractNum>
  <w:abstractNum w:abstractNumId="13" w15:restartNumberingAfterBreak="0">
    <w:nsid w:val="44C57F36"/>
    <w:multiLevelType w:val="hybridMultilevel"/>
    <w:tmpl w:val="2B14F9AA"/>
    <w:lvl w:ilvl="0" w:tplc="A36E51B2">
      <w:start w:val="1"/>
      <w:numFmt w:val="bullet"/>
      <w:lvlText w:val=""/>
      <w:lvlJc w:val="left"/>
      <w:pPr>
        <w:ind w:left="360" w:hanging="360"/>
      </w:pPr>
      <w:rPr>
        <w:rFonts w:ascii="Symbol" w:hAnsi="Symbol" w:hint="default"/>
      </w:rPr>
    </w:lvl>
    <w:lvl w:ilvl="1" w:tplc="78C49B68">
      <w:start w:val="1"/>
      <w:numFmt w:val="bullet"/>
      <w:lvlText w:val="o"/>
      <w:lvlJc w:val="left"/>
      <w:pPr>
        <w:ind w:left="1080" w:hanging="360"/>
      </w:pPr>
      <w:rPr>
        <w:rFonts w:ascii="Courier New" w:hAnsi="Courier New" w:cs="Courier New" w:hint="default"/>
      </w:rPr>
    </w:lvl>
    <w:lvl w:ilvl="2" w:tplc="537889A0">
      <w:start w:val="1"/>
      <w:numFmt w:val="bullet"/>
      <w:lvlText w:val=""/>
      <w:lvlJc w:val="left"/>
      <w:pPr>
        <w:ind w:left="1800" w:hanging="360"/>
      </w:pPr>
      <w:rPr>
        <w:rFonts w:ascii="Wingdings" w:hAnsi="Wingdings" w:hint="default"/>
      </w:rPr>
    </w:lvl>
    <w:lvl w:ilvl="3" w:tplc="68888E54">
      <w:start w:val="1"/>
      <w:numFmt w:val="bullet"/>
      <w:lvlText w:val=""/>
      <w:lvlJc w:val="left"/>
      <w:pPr>
        <w:ind w:left="2520" w:hanging="360"/>
      </w:pPr>
      <w:rPr>
        <w:rFonts w:ascii="Symbol" w:hAnsi="Symbol" w:hint="default"/>
      </w:rPr>
    </w:lvl>
    <w:lvl w:ilvl="4" w:tplc="99D4C82E">
      <w:start w:val="1"/>
      <w:numFmt w:val="bullet"/>
      <w:lvlText w:val="o"/>
      <w:lvlJc w:val="left"/>
      <w:pPr>
        <w:ind w:left="3240" w:hanging="360"/>
      </w:pPr>
      <w:rPr>
        <w:rFonts w:ascii="Courier New" w:hAnsi="Courier New" w:cs="Courier New" w:hint="default"/>
      </w:rPr>
    </w:lvl>
    <w:lvl w:ilvl="5" w:tplc="3EEA1FDC">
      <w:start w:val="1"/>
      <w:numFmt w:val="bullet"/>
      <w:lvlText w:val=""/>
      <w:lvlJc w:val="left"/>
      <w:pPr>
        <w:ind w:left="3960" w:hanging="360"/>
      </w:pPr>
      <w:rPr>
        <w:rFonts w:ascii="Wingdings" w:hAnsi="Wingdings" w:hint="default"/>
      </w:rPr>
    </w:lvl>
    <w:lvl w:ilvl="6" w:tplc="B930E906">
      <w:start w:val="1"/>
      <w:numFmt w:val="bullet"/>
      <w:lvlText w:val=""/>
      <w:lvlJc w:val="left"/>
      <w:pPr>
        <w:ind w:left="4680" w:hanging="360"/>
      </w:pPr>
      <w:rPr>
        <w:rFonts w:ascii="Symbol" w:hAnsi="Symbol" w:hint="default"/>
      </w:rPr>
    </w:lvl>
    <w:lvl w:ilvl="7" w:tplc="2110BC82">
      <w:start w:val="1"/>
      <w:numFmt w:val="bullet"/>
      <w:lvlText w:val="o"/>
      <w:lvlJc w:val="left"/>
      <w:pPr>
        <w:ind w:left="5400" w:hanging="360"/>
      </w:pPr>
      <w:rPr>
        <w:rFonts w:ascii="Courier New" w:hAnsi="Courier New" w:cs="Courier New" w:hint="default"/>
      </w:rPr>
    </w:lvl>
    <w:lvl w:ilvl="8" w:tplc="5C14E252">
      <w:start w:val="1"/>
      <w:numFmt w:val="bullet"/>
      <w:lvlText w:val=""/>
      <w:lvlJc w:val="left"/>
      <w:pPr>
        <w:ind w:left="6120" w:hanging="360"/>
      </w:pPr>
      <w:rPr>
        <w:rFonts w:ascii="Wingdings" w:hAnsi="Wingdings" w:hint="default"/>
      </w:rPr>
    </w:lvl>
  </w:abstractNum>
  <w:abstractNum w:abstractNumId="14" w15:restartNumberingAfterBreak="0">
    <w:nsid w:val="458076ED"/>
    <w:multiLevelType w:val="hybridMultilevel"/>
    <w:tmpl w:val="75304F98"/>
    <w:styleLink w:val="Estilo5"/>
    <w:lvl w:ilvl="0" w:tplc="E14CD5D0">
      <w:start w:val="3"/>
      <w:numFmt w:val="decimal"/>
      <w:pStyle w:val="Estilo5"/>
      <w:lvlText w:val="%1)"/>
      <w:lvlJc w:val="left"/>
      <w:pPr>
        <w:ind w:left="360" w:hanging="360"/>
      </w:pPr>
      <w:rPr>
        <w:rFonts w:ascii="3" w:hAnsi="3" w:hint="default"/>
        <w:b w:val="0"/>
      </w:rPr>
    </w:lvl>
    <w:lvl w:ilvl="1" w:tplc="04F20D08">
      <w:start w:val="1"/>
      <w:numFmt w:val="lowerLetter"/>
      <w:lvlText w:val="%2)"/>
      <w:lvlJc w:val="left"/>
      <w:pPr>
        <w:ind w:left="720" w:hanging="360"/>
      </w:pPr>
      <w:rPr>
        <w:rFonts w:hint="default"/>
      </w:rPr>
    </w:lvl>
    <w:lvl w:ilvl="2" w:tplc="4DD2EE68">
      <w:start w:val="1"/>
      <w:numFmt w:val="lowerRoman"/>
      <w:lvlText w:val="%3)"/>
      <w:lvlJc w:val="left"/>
      <w:pPr>
        <w:ind w:left="1080" w:hanging="360"/>
      </w:pPr>
      <w:rPr>
        <w:rFonts w:hint="default"/>
      </w:rPr>
    </w:lvl>
    <w:lvl w:ilvl="3" w:tplc="CFACAD80">
      <w:start w:val="1"/>
      <w:numFmt w:val="decimal"/>
      <w:lvlText w:val="(%4)"/>
      <w:lvlJc w:val="left"/>
      <w:pPr>
        <w:ind w:left="1440" w:hanging="360"/>
      </w:pPr>
      <w:rPr>
        <w:rFonts w:hint="default"/>
      </w:rPr>
    </w:lvl>
    <w:lvl w:ilvl="4" w:tplc="BA90B756">
      <w:start w:val="1"/>
      <w:numFmt w:val="lowerLetter"/>
      <w:lvlText w:val="(%5)"/>
      <w:lvlJc w:val="left"/>
      <w:pPr>
        <w:ind w:left="1800" w:hanging="360"/>
      </w:pPr>
      <w:rPr>
        <w:rFonts w:hint="default"/>
      </w:rPr>
    </w:lvl>
    <w:lvl w:ilvl="5" w:tplc="EC5C2E8C">
      <w:start w:val="1"/>
      <w:numFmt w:val="lowerRoman"/>
      <w:lvlText w:val="(%6)"/>
      <w:lvlJc w:val="left"/>
      <w:pPr>
        <w:ind w:left="2160" w:hanging="360"/>
      </w:pPr>
      <w:rPr>
        <w:rFonts w:hint="default"/>
      </w:rPr>
    </w:lvl>
    <w:lvl w:ilvl="6" w:tplc="1400A20E">
      <w:start w:val="1"/>
      <w:numFmt w:val="decimal"/>
      <w:lvlText w:val="%7."/>
      <w:lvlJc w:val="left"/>
      <w:pPr>
        <w:ind w:left="2520" w:hanging="360"/>
      </w:pPr>
      <w:rPr>
        <w:rFonts w:hint="default"/>
      </w:rPr>
    </w:lvl>
    <w:lvl w:ilvl="7" w:tplc="A4026262">
      <w:start w:val="1"/>
      <w:numFmt w:val="lowerLetter"/>
      <w:lvlText w:val="%8."/>
      <w:lvlJc w:val="left"/>
      <w:pPr>
        <w:ind w:left="2880" w:hanging="360"/>
      </w:pPr>
      <w:rPr>
        <w:rFonts w:hint="default"/>
      </w:rPr>
    </w:lvl>
    <w:lvl w:ilvl="8" w:tplc="A93028E6">
      <w:start w:val="1"/>
      <w:numFmt w:val="lowerRoman"/>
      <w:lvlText w:val="%9."/>
      <w:lvlJc w:val="left"/>
      <w:pPr>
        <w:ind w:left="3240" w:hanging="360"/>
      </w:pPr>
      <w:rPr>
        <w:rFonts w:hint="default"/>
      </w:rPr>
    </w:lvl>
  </w:abstractNum>
  <w:abstractNum w:abstractNumId="15" w15:restartNumberingAfterBreak="0">
    <w:nsid w:val="45FB66DF"/>
    <w:multiLevelType w:val="hybridMultilevel"/>
    <w:tmpl w:val="8304D526"/>
    <w:lvl w:ilvl="0" w:tplc="BD8A0418">
      <w:start w:val="1"/>
      <w:numFmt w:val="upperRoman"/>
      <w:lvlText w:val="%1)"/>
      <w:lvlJc w:val="left"/>
      <w:pPr>
        <w:ind w:left="1287" w:hanging="720"/>
      </w:pPr>
      <w:rPr>
        <w:rFonts w:hint="default"/>
      </w:rPr>
    </w:lvl>
    <w:lvl w:ilvl="1" w:tplc="8A28B3DC">
      <w:start w:val="1"/>
      <w:numFmt w:val="lowerLetter"/>
      <w:lvlText w:val="%2."/>
      <w:lvlJc w:val="left"/>
      <w:pPr>
        <w:ind w:left="1647" w:hanging="360"/>
      </w:pPr>
    </w:lvl>
    <w:lvl w:ilvl="2" w:tplc="AE08E63A">
      <w:start w:val="1"/>
      <w:numFmt w:val="lowerRoman"/>
      <w:lvlText w:val="%3."/>
      <w:lvlJc w:val="right"/>
      <w:pPr>
        <w:ind w:left="2367" w:hanging="180"/>
      </w:pPr>
    </w:lvl>
    <w:lvl w:ilvl="3" w:tplc="ED8CD862">
      <w:start w:val="1"/>
      <w:numFmt w:val="decimal"/>
      <w:lvlText w:val="%4."/>
      <w:lvlJc w:val="left"/>
      <w:pPr>
        <w:ind w:left="3087" w:hanging="360"/>
      </w:pPr>
    </w:lvl>
    <w:lvl w:ilvl="4" w:tplc="D292A18A">
      <w:start w:val="1"/>
      <w:numFmt w:val="lowerLetter"/>
      <w:lvlText w:val="%5."/>
      <w:lvlJc w:val="left"/>
      <w:pPr>
        <w:ind w:left="3807" w:hanging="360"/>
      </w:pPr>
    </w:lvl>
    <w:lvl w:ilvl="5" w:tplc="C12ADDAE">
      <w:start w:val="1"/>
      <w:numFmt w:val="lowerRoman"/>
      <w:lvlText w:val="%6."/>
      <w:lvlJc w:val="right"/>
      <w:pPr>
        <w:ind w:left="4527" w:hanging="180"/>
      </w:pPr>
    </w:lvl>
    <w:lvl w:ilvl="6" w:tplc="E4285B74">
      <w:start w:val="1"/>
      <w:numFmt w:val="decimal"/>
      <w:lvlText w:val="%7."/>
      <w:lvlJc w:val="left"/>
      <w:pPr>
        <w:ind w:left="5247" w:hanging="360"/>
      </w:pPr>
    </w:lvl>
    <w:lvl w:ilvl="7" w:tplc="0EAEACC8">
      <w:start w:val="1"/>
      <w:numFmt w:val="lowerLetter"/>
      <w:lvlText w:val="%8."/>
      <w:lvlJc w:val="left"/>
      <w:pPr>
        <w:ind w:left="5967" w:hanging="360"/>
      </w:pPr>
    </w:lvl>
    <w:lvl w:ilvl="8" w:tplc="0636B242">
      <w:start w:val="1"/>
      <w:numFmt w:val="lowerRoman"/>
      <w:lvlText w:val="%9."/>
      <w:lvlJc w:val="right"/>
      <w:pPr>
        <w:ind w:left="6687" w:hanging="180"/>
      </w:pPr>
    </w:lvl>
  </w:abstractNum>
  <w:abstractNum w:abstractNumId="16" w15:restartNumberingAfterBreak="0">
    <w:nsid w:val="46173267"/>
    <w:multiLevelType w:val="hybridMultilevel"/>
    <w:tmpl w:val="9122686E"/>
    <w:lvl w:ilvl="0" w:tplc="A384A9C8">
      <w:start w:val="1"/>
      <w:numFmt w:val="bullet"/>
      <w:lvlText w:val=""/>
      <w:lvlJc w:val="left"/>
      <w:pPr>
        <w:ind w:left="720" w:hanging="360"/>
      </w:pPr>
      <w:rPr>
        <w:rFonts w:ascii="Symbol" w:hAnsi="Symbol" w:hint="default"/>
        <w:color w:val="auto"/>
      </w:rPr>
    </w:lvl>
    <w:lvl w:ilvl="1" w:tplc="F22C494C">
      <w:start w:val="1"/>
      <w:numFmt w:val="bullet"/>
      <w:lvlText w:val=""/>
      <w:lvlJc w:val="left"/>
      <w:pPr>
        <w:ind w:left="1440" w:hanging="360"/>
      </w:pPr>
      <w:rPr>
        <w:rFonts w:ascii="Symbol" w:hAnsi="Symbol" w:hint="default"/>
        <w:color w:val="auto"/>
      </w:rPr>
    </w:lvl>
    <w:lvl w:ilvl="2" w:tplc="5D747E24">
      <w:start w:val="1"/>
      <w:numFmt w:val="bullet"/>
      <w:lvlText w:val=""/>
      <w:lvlJc w:val="left"/>
      <w:pPr>
        <w:ind w:left="2160" w:hanging="360"/>
      </w:pPr>
      <w:rPr>
        <w:rFonts w:ascii="Wingdings" w:hAnsi="Wingdings" w:hint="default"/>
      </w:rPr>
    </w:lvl>
    <w:lvl w:ilvl="3" w:tplc="C0A2A71C">
      <w:start w:val="1"/>
      <w:numFmt w:val="bullet"/>
      <w:lvlText w:val=""/>
      <w:lvlJc w:val="left"/>
      <w:pPr>
        <w:ind w:left="2880" w:hanging="360"/>
      </w:pPr>
      <w:rPr>
        <w:rFonts w:ascii="Symbol" w:hAnsi="Symbol" w:hint="default"/>
      </w:rPr>
    </w:lvl>
    <w:lvl w:ilvl="4" w:tplc="876A8766">
      <w:start w:val="1"/>
      <w:numFmt w:val="bullet"/>
      <w:lvlText w:val="o"/>
      <w:lvlJc w:val="left"/>
      <w:pPr>
        <w:ind w:left="3600" w:hanging="360"/>
      </w:pPr>
      <w:rPr>
        <w:rFonts w:ascii="Courier New" w:hAnsi="Courier New" w:cs="Courier New" w:hint="default"/>
      </w:rPr>
    </w:lvl>
    <w:lvl w:ilvl="5" w:tplc="D4B01A62">
      <w:start w:val="1"/>
      <w:numFmt w:val="bullet"/>
      <w:lvlText w:val=""/>
      <w:lvlJc w:val="left"/>
      <w:pPr>
        <w:ind w:left="4320" w:hanging="360"/>
      </w:pPr>
      <w:rPr>
        <w:rFonts w:ascii="Wingdings" w:hAnsi="Wingdings" w:hint="default"/>
      </w:rPr>
    </w:lvl>
    <w:lvl w:ilvl="6" w:tplc="8FBA6E6E">
      <w:start w:val="1"/>
      <w:numFmt w:val="bullet"/>
      <w:lvlText w:val=""/>
      <w:lvlJc w:val="left"/>
      <w:pPr>
        <w:ind w:left="5040" w:hanging="360"/>
      </w:pPr>
      <w:rPr>
        <w:rFonts w:ascii="Symbol" w:hAnsi="Symbol" w:hint="default"/>
      </w:rPr>
    </w:lvl>
    <w:lvl w:ilvl="7" w:tplc="F1CE0110">
      <w:start w:val="1"/>
      <w:numFmt w:val="bullet"/>
      <w:lvlText w:val="o"/>
      <w:lvlJc w:val="left"/>
      <w:pPr>
        <w:ind w:left="5760" w:hanging="360"/>
      </w:pPr>
      <w:rPr>
        <w:rFonts w:ascii="Courier New" w:hAnsi="Courier New" w:cs="Courier New" w:hint="default"/>
      </w:rPr>
    </w:lvl>
    <w:lvl w:ilvl="8" w:tplc="102CC426">
      <w:start w:val="1"/>
      <w:numFmt w:val="bullet"/>
      <w:lvlText w:val=""/>
      <w:lvlJc w:val="left"/>
      <w:pPr>
        <w:ind w:left="6480" w:hanging="360"/>
      </w:pPr>
      <w:rPr>
        <w:rFonts w:ascii="Wingdings" w:hAnsi="Wingdings" w:hint="default"/>
      </w:rPr>
    </w:lvl>
  </w:abstractNum>
  <w:abstractNum w:abstractNumId="17" w15:restartNumberingAfterBreak="0">
    <w:nsid w:val="47A40FD5"/>
    <w:multiLevelType w:val="multilevel"/>
    <w:tmpl w:val="3EF22D92"/>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4634EA"/>
    <w:multiLevelType w:val="hybridMultilevel"/>
    <w:tmpl w:val="5D04D824"/>
    <w:lvl w:ilvl="0" w:tplc="806AD46A">
      <w:start w:val="1"/>
      <w:numFmt w:val="bullet"/>
      <w:pStyle w:val="Commarcadores5"/>
      <w:lvlText w:val=""/>
      <w:lvlJc w:val="left"/>
      <w:pPr>
        <w:tabs>
          <w:tab w:val="num" w:pos="1492"/>
        </w:tabs>
        <w:ind w:left="1492" w:hanging="360"/>
      </w:pPr>
      <w:rPr>
        <w:rFonts w:ascii="Symbol" w:hAnsi="Symbol" w:hint="default"/>
      </w:rPr>
    </w:lvl>
    <w:lvl w:ilvl="1" w:tplc="91B69B18">
      <w:start w:val="1"/>
      <w:numFmt w:val="bullet"/>
      <w:lvlText w:val="o"/>
      <w:lvlJc w:val="left"/>
      <w:pPr>
        <w:ind w:left="1440" w:hanging="360"/>
      </w:pPr>
      <w:rPr>
        <w:rFonts w:ascii="Courier New" w:eastAsia="Courier New" w:hAnsi="Courier New" w:cs="Courier New" w:hint="default"/>
      </w:rPr>
    </w:lvl>
    <w:lvl w:ilvl="2" w:tplc="5600C024">
      <w:start w:val="1"/>
      <w:numFmt w:val="bullet"/>
      <w:lvlText w:val="§"/>
      <w:lvlJc w:val="left"/>
      <w:pPr>
        <w:ind w:left="2160" w:hanging="360"/>
      </w:pPr>
      <w:rPr>
        <w:rFonts w:ascii="Wingdings" w:eastAsia="Wingdings" w:hAnsi="Wingdings" w:cs="Wingdings" w:hint="default"/>
      </w:rPr>
    </w:lvl>
    <w:lvl w:ilvl="3" w:tplc="D95E7A5E">
      <w:start w:val="1"/>
      <w:numFmt w:val="bullet"/>
      <w:lvlText w:val="·"/>
      <w:lvlJc w:val="left"/>
      <w:pPr>
        <w:ind w:left="2880" w:hanging="360"/>
      </w:pPr>
      <w:rPr>
        <w:rFonts w:ascii="Symbol" w:eastAsia="Symbol" w:hAnsi="Symbol" w:cs="Symbol" w:hint="default"/>
      </w:rPr>
    </w:lvl>
    <w:lvl w:ilvl="4" w:tplc="0E0092BA">
      <w:start w:val="1"/>
      <w:numFmt w:val="bullet"/>
      <w:lvlText w:val="o"/>
      <w:lvlJc w:val="left"/>
      <w:pPr>
        <w:ind w:left="3600" w:hanging="360"/>
      </w:pPr>
      <w:rPr>
        <w:rFonts w:ascii="Courier New" w:eastAsia="Courier New" w:hAnsi="Courier New" w:cs="Courier New" w:hint="default"/>
      </w:rPr>
    </w:lvl>
    <w:lvl w:ilvl="5" w:tplc="76E6DA82">
      <w:start w:val="1"/>
      <w:numFmt w:val="bullet"/>
      <w:lvlText w:val="§"/>
      <w:lvlJc w:val="left"/>
      <w:pPr>
        <w:ind w:left="4320" w:hanging="360"/>
      </w:pPr>
      <w:rPr>
        <w:rFonts w:ascii="Wingdings" w:eastAsia="Wingdings" w:hAnsi="Wingdings" w:cs="Wingdings" w:hint="default"/>
      </w:rPr>
    </w:lvl>
    <w:lvl w:ilvl="6" w:tplc="5E2C1ABA">
      <w:start w:val="1"/>
      <w:numFmt w:val="bullet"/>
      <w:lvlText w:val="·"/>
      <w:lvlJc w:val="left"/>
      <w:pPr>
        <w:ind w:left="5040" w:hanging="360"/>
      </w:pPr>
      <w:rPr>
        <w:rFonts w:ascii="Symbol" w:eastAsia="Symbol" w:hAnsi="Symbol" w:cs="Symbol" w:hint="default"/>
      </w:rPr>
    </w:lvl>
    <w:lvl w:ilvl="7" w:tplc="A9B28706">
      <w:start w:val="1"/>
      <w:numFmt w:val="bullet"/>
      <w:lvlText w:val="o"/>
      <w:lvlJc w:val="left"/>
      <w:pPr>
        <w:ind w:left="5760" w:hanging="360"/>
      </w:pPr>
      <w:rPr>
        <w:rFonts w:ascii="Courier New" w:eastAsia="Courier New" w:hAnsi="Courier New" w:cs="Courier New" w:hint="default"/>
      </w:rPr>
    </w:lvl>
    <w:lvl w:ilvl="8" w:tplc="68E23C54">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E432B12"/>
    <w:multiLevelType w:val="multilevel"/>
    <w:tmpl w:val="FE6C0D3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EC08AE"/>
    <w:multiLevelType w:val="multilevel"/>
    <w:tmpl w:val="37E6FF5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BC1816"/>
    <w:multiLevelType w:val="hybridMultilevel"/>
    <w:tmpl w:val="7D80286E"/>
    <w:lvl w:ilvl="0" w:tplc="505C3142">
      <w:start w:val="1"/>
      <w:numFmt w:val="upperRoman"/>
      <w:lvlText w:val="%1)"/>
      <w:lvlJc w:val="left"/>
      <w:pPr>
        <w:ind w:left="2136" w:hanging="720"/>
      </w:pPr>
      <w:rPr>
        <w:rFonts w:hint="default"/>
      </w:rPr>
    </w:lvl>
    <w:lvl w:ilvl="1" w:tplc="F95AB604">
      <w:start w:val="1"/>
      <w:numFmt w:val="lowerLetter"/>
      <w:lvlText w:val="%2."/>
      <w:lvlJc w:val="left"/>
      <w:pPr>
        <w:ind w:left="2496" w:hanging="360"/>
      </w:pPr>
    </w:lvl>
    <w:lvl w:ilvl="2" w:tplc="5BAE7478">
      <w:start w:val="1"/>
      <w:numFmt w:val="lowerRoman"/>
      <w:lvlText w:val="%3."/>
      <w:lvlJc w:val="right"/>
      <w:pPr>
        <w:ind w:left="3216" w:hanging="180"/>
      </w:pPr>
    </w:lvl>
    <w:lvl w:ilvl="3" w:tplc="AA08A604">
      <w:start w:val="1"/>
      <w:numFmt w:val="decimal"/>
      <w:lvlText w:val="%4."/>
      <w:lvlJc w:val="left"/>
      <w:pPr>
        <w:ind w:left="3936" w:hanging="360"/>
      </w:pPr>
    </w:lvl>
    <w:lvl w:ilvl="4" w:tplc="7BA01E8C">
      <w:start w:val="1"/>
      <w:numFmt w:val="lowerLetter"/>
      <w:lvlText w:val="%5."/>
      <w:lvlJc w:val="left"/>
      <w:pPr>
        <w:ind w:left="4656" w:hanging="360"/>
      </w:pPr>
    </w:lvl>
    <w:lvl w:ilvl="5" w:tplc="4EDE2064">
      <w:start w:val="1"/>
      <w:numFmt w:val="lowerRoman"/>
      <w:lvlText w:val="%6."/>
      <w:lvlJc w:val="right"/>
      <w:pPr>
        <w:ind w:left="5376" w:hanging="180"/>
      </w:pPr>
    </w:lvl>
    <w:lvl w:ilvl="6" w:tplc="005E6B90">
      <w:start w:val="1"/>
      <w:numFmt w:val="decimal"/>
      <w:lvlText w:val="%7."/>
      <w:lvlJc w:val="left"/>
      <w:pPr>
        <w:ind w:left="6096" w:hanging="360"/>
      </w:pPr>
    </w:lvl>
    <w:lvl w:ilvl="7" w:tplc="E73CA996">
      <w:start w:val="1"/>
      <w:numFmt w:val="lowerLetter"/>
      <w:lvlText w:val="%8."/>
      <w:lvlJc w:val="left"/>
      <w:pPr>
        <w:ind w:left="6816" w:hanging="360"/>
      </w:pPr>
    </w:lvl>
    <w:lvl w:ilvl="8" w:tplc="755A6AAE">
      <w:start w:val="1"/>
      <w:numFmt w:val="lowerRoman"/>
      <w:lvlText w:val="%9."/>
      <w:lvlJc w:val="right"/>
      <w:pPr>
        <w:ind w:left="7536" w:hanging="180"/>
      </w:pPr>
    </w:lvl>
  </w:abstractNum>
  <w:abstractNum w:abstractNumId="22" w15:restartNumberingAfterBreak="0">
    <w:nsid w:val="55020706"/>
    <w:multiLevelType w:val="multilevel"/>
    <w:tmpl w:val="A9A6B99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3151DA"/>
    <w:multiLevelType w:val="multilevel"/>
    <w:tmpl w:val="A3C2F412"/>
    <w:lvl w:ilvl="0">
      <w:start w:val="1"/>
      <w:numFmt w:val="decimal"/>
      <w:lvlText w:val="%1."/>
      <w:lvlJc w:val="left"/>
      <w:pPr>
        <w:ind w:left="2771"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B9771D3"/>
    <w:multiLevelType w:val="hybridMultilevel"/>
    <w:tmpl w:val="076C0590"/>
    <w:lvl w:ilvl="0" w:tplc="CE82CEFC">
      <w:start w:val="1"/>
      <w:numFmt w:val="bullet"/>
      <w:lvlText w:val=""/>
      <w:lvlJc w:val="left"/>
      <w:pPr>
        <w:ind w:left="720" w:hanging="360"/>
      </w:pPr>
      <w:rPr>
        <w:rFonts w:ascii="Symbol" w:hAnsi="Symbol" w:hint="default"/>
      </w:rPr>
    </w:lvl>
    <w:lvl w:ilvl="1" w:tplc="4BA8E21C">
      <w:start w:val="1"/>
      <w:numFmt w:val="bullet"/>
      <w:lvlText w:val="o"/>
      <w:lvlJc w:val="left"/>
      <w:pPr>
        <w:ind w:left="1440" w:hanging="360"/>
      </w:pPr>
      <w:rPr>
        <w:rFonts w:ascii="Courier New" w:hAnsi="Courier New" w:cs="Courier New" w:hint="default"/>
      </w:rPr>
    </w:lvl>
    <w:lvl w:ilvl="2" w:tplc="F1806948">
      <w:start w:val="1"/>
      <w:numFmt w:val="bullet"/>
      <w:lvlText w:val="o"/>
      <w:lvlJc w:val="left"/>
      <w:pPr>
        <w:ind w:left="2160" w:hanging="360"/>
      </w:pPr>
      <w:rPr>
        <w:rFonts w:ascii="Courier New" w:hAnsi="Courier New" w:cs="Courier New" w:hint="default"/>
      </w:rPr>
    </w:lvl>
    <w:lvl w:ilvl="3" w:tplc="5914E482">
      <w:start w:val="1"/>
      <w:numFmt w:val="bullet"/>
      <w:lvlText w:val=""/>
      <w:lvlJc w:val="left"/>
      <w:pPr>
        <w:ind w:left="2880" w:hanging="360"/>
      </w:pPr>
      <w:rPr>
        <w:rFonts w:ascii="Symbol" w:hAnsi="Symbol" w:hint="default"/>
      </w:rPr>
    </w:lvl>
    <w:lvl w:ilvl="4" w:tplc="100A9F50">
      <w:start w:val="1"/>
      <w:numFmt w:val="bullet"/>
      <w:lvlText w:val="o"/>
      <w:lvlJc w:val="left"/>
      <w:pPr>
        <w:ind w:left="3600" w:hanging="360"/>
      </w:pPr>
      <w:rPr>
        <w:rFonts w:ascii="Courier New" w:hAnsi="Courier New" w:cs="Courier New" w:hint="default"/>
      </w:rPr>
    </w:lvl>
    <w:lvl w:ilvl="5" w:tplc="6888B64C">
      <w:start w:val="1"/>
      <w:numFmt w:val="bullet"/>
      <w:lvlText w:val=""/>
      <w:lvlJc w:val="left"/>
      <w:pPr>
        <w:ind w:left="4320" w:hanging="360"/>
      </w:pPr>
      <w:rPr>
        <w:rFonts w:ascii="Wingdings" w:hAnsi="Wingdings" w:hint="default"/>
      </w:rPr>
    </w:lvl>
    <w:lvl w:ilvl="6" w:tplc="262E25DC">
      <w:start w:val="1"/>
      <w:numFmt w:val="bullet"/>
      <w:lvlText w:val=""/>
      <w:lvlJc w:val="left"/>
      <w:pPr>
        <w:ind w:left="5040" w:hanging="360"/>
      </w:pPr>
      <w:rPr>
        <w:rFonts w:ascii="Symbol" w:hAnsi="Symbol" w:hint="default"/>
      </w:rPr>
    </w:lvl>
    <w:lvl w:ilvl="7" w:tplc="EEDC0E9E">
      <w:start w:val="1"/>
      <w:numFmt w:val="bullet"/>
      <w:lvlText w:val="o"/>
      <w:lvlJc w:val="left"/>
      <w:pPr>
        <w:ind w:left="5760" w:hanging="360"/>
      </w:pPr>
      <w:rPr>
        <w:rFonts w:ascii="Courier New" w:hAnsi="Courier New" w:cs="Courier New" w:hint="default"/>
      </w:rPr>
    </w:lvl>
    <w:lvl w:ilvl="8" w:tplc="17B60D2E">
      <w:start w:val="1"/>
      <w:numFmt w:val="bullet"/>
      <w:lvlText w:val=""/>
      <w:lvlJc w:val="left"/>
      <w:pPr>
        <w:ind w:left="6480" w:hanging="360"/>
      </w:pPr>
      <w:rPr>
        <w:rFonts w:ascii="Wingdings" w:hAnsi="Wingdings" w:hint="default"/>
      </w:rPr>
    </w:lvl>
  </w:abstractNum>
  <w:abstractNum w:abstractNumId="25" w15:restartNumberingAfterBreak="0">
    <w:nsid w:val="5C69018B"/>
    <w:multiLevelType w:val="multilevel"/>
    <w:tmpl w:val="E0C8D2F2"/>
    <w:styleLink w:val="Estilo1"/>
    <w:lvl w:ilvl="0">
      <w:start w:val="8"/>
      <w:numFmt w:val="decimal"/>
      <w:pStyle w:val="Estilo1"/>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5E2326D3"/>
    <w:multiLevelType w:val="multilevel"/>
    <w:tmpl w:val="46C69450"/>
    <w:lvl w:ilvl="0">
      <w:start w:val="1"/>
      <w:numFmt w:val="decimal"/>
      <w:lvlText w:val="%1."/>
      <w:lvlJc w:val="left"/>
      <w:pPr>
        <w:ind w:left="2771" w:hanging="360"/>
      </w:pPr>
      <w:rPr>
        <w:rFonts w:hint="default"/>
        <w:b/>
        <w:color w:val="auto"/>
      </w:rPr>
    </w:lvl>
    <w:lvl w:ilvl="1">
      <w:start w:val="1"/>
      <w:numFmt w:val="decimal"/>
      <w:lvlText w:val="%1.%2."/>
      <w:lvlJc w:val="left"/>
      <w:pPr>
        <w:ind w:left="716" w:hanging="432"/>
      </w:pPr>
      <w:rPr>
        <w:rFonts w:hint="default"/>
        <w:b w:val="0"/>
        <w:i w:val="0"/>
        <w:strike w:val="0"/>
        <w:color w:val="auto"/>
        <w:highlight w:val="white"/>
      </w:rPr>
    </w:lvl>
    <w:lvl w:ilvl="2">
      <w:start w:val="1"/>
      <w:numFmt w:val="decimal"/>
      <w:lvlText w:val="%1.%2.%3."/>
      <w:lvlJc w:val="left"/>
      <w:pPr>
        <w:ind w:left="930" w:hanging="504"/>
      </w:pPr>
      <w:rPr>
        <w:rFonts w:hint="default"/>
        <w:b w:val="0"/>
        <w:i w:val="0"/>
        <w:color w:val="auto"/>
        <w:highlight w:val="whit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485529"/>
    <w:multiLevelType w:val="multilevel"/>
    <w:tmpl w:val="AFBC55F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28" w15:restartNumberingAfterBreak="0">
    <w:nsid w:val="64821774"/>
    <w:multiLevelType w:val="multilevel"/>
    <w:tmpl w:val="FC282BD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033D1A"/>
    <w:multiLevelType w:val="hybridMultilevel"/>
    <w:tmpl w:val="84A89A92"/>
    <w:styleLink w:val="Estilo4"/>
    <w:lvl w:ilvl="0" w:tplc="47F017A2">
      <w:start w:val="1"/>
      <w:numFmt w:val="decimal"/>
      <w:pStyle w:val="Estilo4"/>
      <w:lvlText w:val="%1)"/>
      <w:lvlJc w:val="left"/>
      <w:pPr>
        <w:ind w:left="360" w:hanging="360"/>
      </w:pPr>
      <w:rPr>
        <w:rFonts w:ascii="1" w:hAnsi="1"/>
      </w:rPr>
    </w:lvl>
    <w:lvl w:ilvl="1" w:tplc="235034EA">
      <w:start w:val="1"/>
      <w:numFmt w:val="lowerLetter"/>
      <w:lvlText w:val="%2)"/>
      <w:lvlJc w:val="left"/>
      <w:pPr>
        <w:ind w:left="720" w:hanging="360"/>
      </w:pPr>
    </w:lvl>
    <w:lvl w:ilvl="2" w:tplc="46606136">
      <w:start w:val="1"/>
      <w:numFmt w:val="lowerRoman"/>
      <w:lvlText w:val="%3)"/>
      <w:lvlJc w:val="left"/>
      <w:pPr>
        <w:ind w:left="1080" w:hanging="360"/>
      </w:pPr>
    </w:lvl>
    <w:lvl w:ilvl="3" w:tplc="D63AEB9E">
      <w:start w:val="1"/>
      <w:numFmt w:val="decimal"/>
      <w:lvlText w:val="(%4)"/>
      <w:lvlJc w:val="left"/>
      <w:pPr>
        <w:ind w:left="1440" w:hanging="360"/>
      </w:pPr>
    </w:lvl>
    <w:lvl w:ilvl="4" w:tplc="9B5CB35A">
      <w:start w:val="1"/>
      <w:numFmt w:val="lowerLetter"/>
      <w:lvlText w:val="(%5)"/>
      <w:lvlJc w:val="left"/>
      <w:pPr>
        <w:ind w:left="1800" w:hanging="360"/>
      </w:pPr>
    </w:lvl>
    <w:lvl w:ilvl="5" w:tplc="23387B50">
      <w:start w:val="1"/>
      <w:numFmt w:val="lowerRoman"/>
      <w:lvlText w:val="(%6)"/>
      <w:lvlJc w:val="left"/>
      <w:pPr>
        <w:ind w:left="2160" w:hanging="360"/>
      </w:pPr>
    </w:lvl>
    <w:lvl w:ilvl="6" w:tplc="1908A5DE">
      <w:start w:val="1"/>
      <w:numFmt w:val="decimal"/>
      <w:lvlText w:val="%7."/>
      <w:lvlJc w:val="left"/>
      <w:pPr>
        <w:ind w:left="2520" w:hanging="360"/>
      </w:pPr>
    </w:lvl>
    <w:lvl w:ilvl="7" w:tplc="D924ECC0">
      <w:start w:val="1"/>
      <w:numFmt w:val="lowerLetter"/>
      <w:lvlText w:val="%8."/>
      <w:lvlJc w:val="left"/>
      <w:pPr>
        <w:ind w:left="2880" w:hanging="360"/>
      </w:pPr>
    </w:lvl>
    <w:lvl w:ilvl="8" w:tplc="2EB2A7AC">
      <w:start w:val="1"/>
      <w:numFmt w:val="lowerRoman"/>
      <w:lvlText w:val="%9."/>
      <w:lvlJc w:val="left"/>
      <w:pPr>
        <w:ind w:left="3240" w:hanging="360"/>
      </w:pPr>
    </w:lvl>
  </w:abstractNum>
  <w:abstractNum w:abstractNumId="30" w15:restartNumberingAfterBreak="0">
    <w:nsid w:val="67532DE3"/>
    <w:multiLevelType w:val="multilevel"/>
    <w:tmpl w:val="3C3AF4F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B112E10"/>
    <w:multiLevelType w:val="hybridMultilevel"/>
    <w:tmpl w:val="B734DCA6"/>
    <w:lvl w:ilvl="0" w:tplc="4B7A1046">
      <w:start w:val="1"/>
      <w:numFmt w:val="bullet"/>
      <w:lvlText w:val=""/>
      <w:lvlJc w:val="left"/>
      <w:pPr>
        <w:ind w:left="360" w:hanging="360"/>
      </w:pPr>
      <w:rPr>
        <w:rFonts w:ascii="Symbol" w:hAnsi="Symbol" w:hint="default"/>
      </w:rPr>
    </w:lvl>
    <w:lvl w:ilvl="1" w:tplc="BE3A2F4E">
      <w:start w:val="1"/>
      <w:numFmt w:val="bullet"/>
      <w:lvlText w:val="o"/>
      <w:lvlJc w:val="left"/>
      <w:pPr>
        <w:ind w:left="1080" w:hanging="360"/>
      </w:pPr>
      <w:rPr>
        <w:rFonts w:ascii="Courier New" w:hAnsi="Courier New" w:cs="Courier New" w:hint="default"/>
      </w:rPr>
    </w:lvl>
    <w:lvl w:ilvl="2" w:tplc="4D9E0FCE">
      <w:start w:val="1"/>
      <w:numFmt w:val="bullet"/>
      <w:lvlText w:val=""/>
      <w:lvlJc w:val="left"/>
      <w:pPr>
        <w:ind w:left="1800" w:hanging="360"/>
      </w:pPr>
      <w:rPr>
        <w:rFonts w:ascii="Wingdings" w:hAnsi="Wingdings" w:hint="default"/>
      </w:rPr>
    </w:lvl>
    <w:lvl w:ilvl="3" w:tplc="D36ED038">
      <w:start w:val="1"/>
      <w:numFmt w:val="bullet"/>
      <w:lvlText w:val=""/>
      <w:lvlJc w:val="left"/>
      <w:pPr>
        <w:ind w:left="2520" w:hanging="360"/>
      </w:pPr>
      <w:rPr>
        <w:rFonts w:ascii="Symbol" w:hAnsi="Symbol" w:hint="default"/>
      </w:rPr>
    </w:lvl>
    <w:lvl w:ilvl="4" w:tplc="9EA238C4">
      <w:start w:val="1"/>
      <w:numFmt w:val="bullet"/>
      <w:lvlText w:val="o"/>
      <w:lvlJc w:val="left"/>
      <w:pPr>
        <w:ind w:left="3240" w:hanging="360"/>
      </w:pPr>
      <w:rPr>
        <w:rFonts w:ascii="Courier New" w:hAnsi="Courier New" w:cs="Courier New" w:hint="default"/>
      </w:rPr>
    </w:lvl>
    <w:lvl w:ilvl="5" w:tplc="04B616DC">
      <w:start w:val="1"/>
      <w:numFmt w:val="bullet"/>
      <w:lvlText w:val=""/>
      <w:lvlJc w:val="left"/>
      <w:pPr>
        <w:ind w:left="3960" w:hanging="360"/>
      </w:pPr>
      <w:rPr>
        <w:rFonts w:ascii="Wingdings" w:hAnsi="Wingdings" w:hint="default"/>
      </w:rPr>
    </w:lvl>
    <w:lvl w:ilvl="6" w:tplc="7B8C0A3C">
      <w:start w:val="1"/>
      <w:numFmt w:val="bullet"/>
      <w:lvlText w:val=""/>
      <w:lvlJc w:val="left"/>
      <w:pPr>
        <w:ind w:left="4680" w:hanging="360"/>
      </w:pPr>
      <w:rPr>
        <w:rFonts w:ascii="Symbol" w:hAnsi="Symbol" w:hint="default"/>
      </w:rPr>
    </w:lvl>
    <w:lvl w:ilvl="7" w:tplc="20560D34">
      <w:start w:val="1"/>
      <w:numFmt w:val="bullet"/>
      <w:lvlText w:val="o"/>
      <w:lvlJc w:val="left"/>
      <w:pPr>
        <w:ind w:left="5400" w:hanging="360"/>
      </w:pPr>
      <w:rPr>
        <w:rFonts w:ascii="Courier New" w:hAnsi="Courier New" w:cs="Courier New" w:hint="default"/>
      </w:rPr>
    </w:lvl>
    <w:lvl w:ilvl="8" w:tplc="0256E890">
      <w:start w:val="1"/>
      <w:numFmt w:val="bullet"/>
      <w:lvlText w:val=""/>
      <w:lvlJc w:val="left"/>
      <w:pPr>
        <w:ind w:left="6120" w:hanging="360"/>
      </w:pPr>
      <w:rPr>
        <w:rFonts w:ascii="Wingdings" w:hAnsi="Wingdings" w:hint="default"/>
      </w:rPr>
    </w:lvl>
  </w:abstractNum>
  <w:abstractNum w:abstractNumId="32" w15:restartNumberingAfterBreak="0">
    <w:nsid w:val="6BF90B6F"/>
    <w:multiLevelType w:val="hybridMultilevel"/>
    <w:tmpl w:val="A6F2FC36"/>
    <w:lvl w:ilvl="0" w:tplc="56A20BBE">
      <w:start w:val="1"/>
      <w:numFmt w:val="bullet"/>
      <w:lvlText w:val=""/>
      <w:lvlJc w:val="left"/>
      <w:pPr>
        <w:ind w:left="720" w:hanging="360"/>
      </w:pPr>
      <w:rPr>
        <w:rFonts w:ascii="Symbol" w:hAnsi="Symbol" w:hint="default"/>
        <w:color w:val="auto"/>
      </w:rPr>
    </w:lvl>
    <w:lvl w:ilvl="1" w:tplc="DCA8B2BE">
      <w:start w:val="1"/>
      <w:numFmt w:val="bullet"/>
      <w:lvlText w:val="o"/>
      <w:lvlJc w:val="left"/>
      <w:pPr>
        <w:ind w:left="1440" w:hanging="360"/>
      </w:pPr>
      <w:rPr>
        <w:rFonts w:ascii="Courier New" w:hAnsi="Courier New" w:cs="Courier New" w:hint="default"/>
      </w:rPr>
    </w:lvl>
    <w:lvl w:ilvl="2" w:tplc="B6A2ECFA">
      <w:start w:val="1"/>
      <w:numFmt w:val="bullet"/>
      <w:lvlText w:val=""/>
      <w:lvlJc w:val="left"/>
      <w:pPr>
        <w:ind w:left="2160" w:hanging="360"/>
      </w:pPr>
      <w:rPr>
        <w:rFonts w:ascii="Wingdings" w:hAnsi="Wingdings" w:hint="default"/>
      </w:rPr>
    </w:lvl>
    <w:lvl w:ilvl="3" w:tplc="F548693E">
      <w:start w:val="1"/>
      <w:numFmt w:val="bullet"/>
      <w:lvlText w:val=""/>
      <w:lvlJc w:val="left"/>
      <w:pPr>
        <w:ind w:left="2880" w:hanging="360"/>
      </w:pPr>
      <w:rPr>
        <w:rFonts w:ascii="Symbol" w:hAnsi="Symbol" w:hint="default"/>
      </w:rPr>
    </w:lvl>
    <w:lvl w:ilvl="4" w:tplc="08C0EE40">
      <w:start w:val="1"/>
      <w:numFmt w:val="bullet"/>
      <w:lvlText w:val="o"/>
      <w:lvlJc w:val="left"/>
      <w:pPr>
        <w:ind w:left="3600" w:hanging="360"/>
      </w:pPr>
      <w:rPr>
        <w:rFonts w:ascii="Courier New" w:hAnsi="Courier New" w:cs="Courier New" w:hint="default"/>
      </w:rPr>
    </w:lvl>
    <w:lvl w:ilvl="5" w:tplc="9F6ECABA">
      <w:start w:val="1"/>
      <w:numFmt w:val="bullet"/>
      <w:lvlText w:val=""/>
      <w:lvlJc w:val="left"/>
      <w:pPr>
        <w:ind w:left="4320" w:hanging="360"/>
      </w:pPr>
      <w:rPr>
        <w:rFonts w:ascii="Wingdings" w:hAnsi="Wingdings" w:hint="default"/>
      </w:rPr>
    </w:lvl>
    <w:lvl w:ilvl="6" w:tplc="CC743420">
      <w:start w:val="1"/>
      <w:numFmt w:val="bullet"/>
      <w:lvlText w:val=""/>
      <w:lvlJc w:val="left"/>
      <w:pPr>
        <w:ind w:left="5040" w:hanging="360"/>
      </w:pPr>
      <w:rPr>
        <w:rFonts w:ascii="Symbol" w:hAnsi="Symbol" w:hint="default"/>
      </w:rPr>
    </w:lvl>
    <w:lvl w:ilvl="7" w:tplc="015696E6">
      <w:start w:val="1"/>
      <w:numFmt w:val="bullet"/>
      <w:lvlText w:val="o"/>
      <w:lvlJc w:val="left"/>
      <w:pPr>
        <w:ind w:left="5760" w:hanging="360"/>
      </w:pPr>
      <w:rPr>
        <w:rFonts w:ascii="Courier New" w:hAnsi="Courier New" w:cs="Courier New" w:hint="default"/>
      </w:rPr>
    </w:lvl>
    <w:lvl w:ilvl="8" w:tplc="7F204C0E">
      <w:start w:val="1"/>
      <w:numFmt w:val="bullet"/>
      <w:lvlText w:val=""/>
      <w:lvlJc w:val="left"/>
      <w:pPr>
        <w:ind w:left="6480" w:hanging="360"/>
      </w:pPr>
      <w:rPr>
        <w:rFonts w:ascii="Wingdings" w:hAnsi="Wingdings" w:hint="default"/>
      </w:rPr>
    </w:lvl>
  </w:abstractNum>
  <w:abstractNum w:abstractNumId="33" w15:restartNumberingAfterBreak="0">
    <w:nsid w:val="710D3F9A"/>
    <w:multiLevelType w:val="hybridMultilevel"/>
    <w:tmpl w:val="632CF5AA"/>
    <w:styleLink w:val="Estilo2"/>
    <w:lvl w:ilvl="0" w:tplc="1BF27646">
      <w:start w:val="1"/>
      <w:numFmt w:val="decimal"/>
      <w:pStyle w:val="Estilo2"/>
      <w:lvlText w:val="%1)"/>
      <w:lvlJc w:val="left"/>
      <w:pPr>
        <w:ind w:left="360" w:hanging="360"/>
      </w:pPr>
      <w:rPr>
        <w:rFonts w:ascii="1" w:hAnsi="1"/>
      </w:rPr>
    </w:lvl>
    <w:lvl w:ilvl="1" w:tplc="E800DC36">
      <w:start w:val="1"/>
      <w:numFmt w:val="lowerLetter"/>
      <w:lvlText w:val="%2)"/>
      <w:lvlJc w:val="left"/>
      <w:pPr>
        <w:ind w:left="720" w:hanging="360"/>
      </w:pPr>
    </w:lvl>
    <w:lvl w:ilvl="2" w:tplc="8A9E7504">
      <w:start w:val="1"/>
      <w:numFmt w:val="lowerRoman"/>
      <w:lvlText w:val="%3)"/>
      <w:lvlJc w:val="left"/>
      <w:pPr>
        <w:ind w:left="1080" w:hanging="360"/>
      </w:pPr>
    </w:lvl>
    <w:lvl w:ilvl="3" w:tplc="975C33BC">
      <w:start w:val="1"/>
      <w:numFmt w:val="decimal"/>
      <w:lvlText w:val="(%4)"/>
      <w:lvlJc w:val="left"/>
      <w:pPr>
        <w:ind w:left="1440" w:hanging="360"/>
      </w:pPr>
    </w:lvl>
    <w:lvl w:ilvl="4" w:tplc="127A1F4E">
      <w:start w:val="1"/>
      <w:numFmt w:val="lowerLetter"/>
      <w:lvlText w:val="(%5)"/>
      <w:lvlJc w:val="left"/>
      <w:pPr>
        <w:ind w:left="1800" w:hanging="360"/>
      </w:pPr>
    </w:lvl>
    <w:lvl w:ilvl="5" w:tplc="37FE5BDA">
      <w:start w:val="1"/>
      <w:numFmt w:val="lowerRoman"/>
      <w:lvlText w:val="(%6)"/>
      <w:lvlJc w:val="left"/>
      <w:pPr>
        <w:ind w:left="2160" w:hanging="360"/>
      </w:pPr>
    </w:lvl>
    <w:lvl w:ilvl="6" w:tplc="1F52E21A">
      <w:start w:val="1"/>
      <w:numFmt w:val="decimal"/>
      <w:lvlText w:val="%7."/>
      <w:lvlJc w:val="left"/>
      <w:pPr>
        <w:ind w:left="2520" w:hanging="360"/>
      </w:pPr>
    </w:lvl>
    <w:lvl w:ilvl="7" w:tplc="83C838F4">
      <w:start w:val="1"/>
      <w:numFmt w:val="lowerLetter"/>
      <w:lvlText w:val="%8."/>
      <w:lvlJc w:val="left"/>
      <w:pPr>
        <w:ind w:left="2880" w:hanging="360"/>
      </w:pPr>
    </w:lvl>
    <w:lvl w:ilvl="8" w:tplc="476668A2">
      <w:start w:val="1"/>
      <w:numFmt w:val="lowerRoman"/>
      <w:lvlText w:val="%9."/>
      <w:lvlJc w:val="left"/>
      <w:pPr>
        <w:ind w:left="3240" w:hanging="360"/>
      </w:pPr>
    </w:lvl>
  </w:abstractNum>
  <w:abstractNum w:abstractNumId="34" w15:restartNumberingAfterBreak="0">
    <w:nsid w:val="74D44C06"/>
    <w:multiLevelType w:val="multilevel"/>
    <w:tmpl w:val="B3544398"/>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AA76E8"/>
    <w:multiLevelType w:val="multilevel"/>
    <w:tmpl w:val="06FE7BA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D2411A9"/>
    <w:multiLevelType w:val="hybridMultilevel"/>
    <w:tmpl w:val="77987056"/>
    <w:styleLink w:val="Estilo3"/>
    <w:lvl w:ilvl="0" w:tplc="FBEE9302">
      <w:start w:val="6"/>
      <w:numFmt w:val="decimal"/>
      <w:pStyle w:val="Estilo3"/>
      <w:lvlText w:val="8.%1"/>
      <w:lvlJc w:val="left"/>
      <w:pPr>
        <w:ind w:left="555" w:hanging="555"/>
      </w:pPr>
      <w:rPr>
        <w:rFonts w:hint="default"/>
      </w:rPr>
    </w:lvl>
    <w:lvl w:ilvl="1" w:tplc="16CE1AFC">
      <w:start w:val="1"/>
      <w:numFmt w:val="lowerLetter"/>
      <w:lvlText w:val="%2."/>
      <w:lvlJc w:val="left"/>
      <w:pPr>
        <w:ind w:left="1440" w:hanging="360"/>
      </w:pPr>
    </w:lvl>
    <w:lvl w:ilvl="2" w:tplc="888CFDA6">
      <w:start w:val="1"/>
      <w:numFmt w:val="lowerRoman"/>
      <w:lvlText w:val="%3."/>
      <w:lvlJc w:val="right"/>
      <w:pPr>
        <w:ind w:left="2160" w:hanging="180"/>
      </w:pPr>
    </w:lvl>
    <w:lvl w:ilvl="3" w:tplc="56F2FC5C">
      <w:start w:val="1"/>
      <w:numFmt w:val="decimal"/>
      <w:lvlText w:val="%4."/>
      <w:lvlJc w:val="left"/>
      <w:pPr>
        <w:ind w:left="2880" w:hanging="360"/>
      </w:pPr>
    </w:lvl>
    <w:lvl w:ilvl="4" w:tplc="EF1A7DAC">
      <w:start w:val="1"/>
      <w:numFmt w:val="lowerLetter"/>
      <w:lvlText w:val="%5."/>
      <w:lvlJc w:val="left"/>
      <w:pPr>
        <w:ind w:left="3600" w:hanging="360"/>
      </w:pPr>
    </w:lvl>
    <w:lvl w:ilvl="5" w:tplc="B0F2EB2C">
      <w:start w:val="1"/>
      <w:numFmt w:val="lowerRoman"/>
      <w:lvlText w:val="%6."/>
      <w:lvlJc w:val="right"/>
      <w:pPr>
        <w:ind w:left="4320" w:hanging="180"/>
      </w:pPr>
    </w:lvl>
    <w:lvl w:ilvl="6" w:tplc="8D7A23F6">
      <w:start w:val="1"/>
      <w:numFmt w:val="decimal"/>
      <w:lvlText w:val="%7."/>
      <w:lvlJc w:val="left"/>
      <w:pPr>
        <w:ind w:left="5040" w:hanging="360"/>
      </w:pPr>
    </w:lvl>
    <w:lvl w:ilvl="7" w:tplc="1E305EEC">
      <w:start w:val="1"/>
      <w:numFmt w:val="lowerLetter"/>
      <w:lvlText w:val="%8."/>
      <w:lvlJc w:val="left"/>
      <w:pPr>
        <w:ind w:left="5760" w:hanging="360"/>
      </w:pPr>
    </w:lvl>
    <w:lvl w:ilvl="8" w:tplc="F9943F9C">
      <w:start w:val="1"/>
      <w:numFmt w:val="lowerRoman"/>
      <w:lvlText w:val="%9."/>
      <w:lvlJc w:val="right"/>
      <w:pPr>
        <w:ind w:left="6480" w:hanging="180"/>
      </w:pPr>
    </w:lvl>
  </w:abstractNum>
  <w:num w:numId="1" w16cid:durableId="1001542840">
    <w:abstractNumId w:val="28"/>
  </w:num>
  <w:num w:numId="2" w16cid:durableId="319238508">
    <w:abstractNumId w:val="4"/>
  </w:num>
  <w:num w:numId="3" w16cid:durableId="1561329749">
    <w:abstractNumId w:val="17"/>
  </w:num>
  <w:num w:numId="4" w16cid:durableId="359472474">
    <w:abstractNumId w:val="6"/>
  </w:num>
  <w:num w:numId="5" w16cid:durableId="1322125486">
    <w:abstractNumId w:val="8"/>
  </w:num>
  <w:num w:numId="6" w16cid:durableId="753477166">
    <w:abstractNumId w:val="22"/>
  </w:num>
  <w:num w:numId="7" w16cid:durableId="1659379167">
    <w:abstractNumId w:val="18"/>
  </w:num>
  <w:num w:numId="8" w16cid:durableId="1510027329">
    <w:abstractNumId w:val="25"/>
  </w:num>
  <w:num w:numId="9" w16cid:durableId="330253835">
    <w:abstractNumId w:val="33"/>
  </w:num>
  <w:num w:numId="10" w16cid:durableId="558784156">
    <w:abstractNumId w:val="36"/>
  </w:num>
  <w:num w:numId="11" w16cid:durableId="521019092">
    <w:abstractNumId w:val="29"/>
  </w:num>
  <w:num w:numId="12" w16cid:durableId="2013751468">
    <w:abstractNumId w:val="14"/>
  </w:num>
  <w:num w:numId="13" w16cid:durableId="650602991">
    <w:abstractNumId w:val="0"/>
  </w:num>
  <w:num w:numId="14" w16cid:durableId="276719309">
    <w:abstractNumId w:val="22"/>
  </w:num>
  <w:num w:numId="15" w16cid:durableId="2035762814">
    <w:abstractNumId w:val="21"/>
  </w:num>
  <w:num w:numId="16" w16cid:durableId="886382204">
    <w:abstractNumId w:val="15"/>
  </w:num>
  <w:num w:numId="17" w16cid:durableId="1742677840">
    <w:abstractNumId w:val="27"/>
  </w:num>
  <w:num w:numId="18" w16cid:durableId="964389291">
    <w:abstractNumId w:val="20"/>
  </w:num>
  <w:num w:numId="19" w16cid:durableId="789512443">
    <w:abstractNumId w:val="34"/>
  </w:num>
  <w:num w:numId="20" w16cid:durableId="1038772252">
    <w:abstractNumId w:val="10"/>
  </w:num>
  <w:num w:numId="21" w16cid:durableId="1514958347">
    <w:abstractNumId w:val="22"/>
    <w:lvlOverride w:ilvl="0">
      <w:startOverride w:val="2"/>
    </w:lvlOverride>
    <w:lvlOverride w:ilvl="1">
      <w:startOverride w:val="2"/>
    </w:lvlOverride>
  </w:num>
  <w:num w:numId="22" w16cid:durableId="1303123254">
    <w:abstractNumId w:val="22"/>
  </w:num>
  <w:num w:numId="23" w16cid:durableId="534004761">
    <w:abstractNumId w:val="26"/>
  </w:num>
  <w:num w:numId="24" w16cid:durableId="1054885813">
    <w:abstractNumId w:val="23"/>
  </w:num>
  <w:num w:numId="25" w16cid:durableId="167671336">
    <w:abstractNumId w:val="11"/>
  </w:num>
  <w:num w:numId="26" w16cid:durableId="2009401453">
    <w:abstractNumId w:val="7"/>
  </w:num>
  <w:num w:numId="27" w16cid:durableId="641348099">
    <w:abstractNumId w:val="1"/>
  </w:num>
  <w:num w:numId="28" w16cid:durableId="957417937">
    <w:abstractNumId w:val="12"/>
  </w:num>
  <w:num w:numId="29" w16cid:durableId="1535146385">
    <w:abstractNumId w:val="16"/>
  </w:num>
  <w:num w:numId="30" w16cid:durableId="1436368139">
    <w:abstractNumId w:val="24"/>
  </w:num>
  <w:num w:numId="31" w16cid:durableId="577859921">
    <w:abstractNumId w:val="32"/>
  </w:num>
  <w:num w:numId="32" w16cid:durableId="1995571812">
    <w:abstractNumId w:val="9"/>
  </w:num>
  <w:num w:numId="33" w16cid:durableId="1875999480">
    <w:abstractNumId w:val="3"/>
  </w:num>
  <w:num w:numId="34" w16cid:durableId="349182928">
    <w:abstractNumId w:val="35"/>
  </w:num>
  <w:num w:numId="35" w16cid:durableId="1778525775">
    <w:abstractNumId w:val="30"/>
  </w:num>
  <w:num w:numId="36" w16cid:durableId="512501616">
    <w:abstractNumId w:val="5"/>
  </w:num>
  <w:num w:numId="37" w16cid:durableId="564266035">
    <w:abstractNumId w:val="19"/>
  </w:num>
  <w:num w:numId="38" w16cid:durableId="453211732">
    <w:abstractNumId w:val="2"/>
  </w:num>
  <w:num w:numId="39" w16cid:durableId="75520527">
    <w:abstractNumId w:val="31"/>
  </w:num>
  <w:num w:numId="40" w16cid:durableId="1793968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revisionView w:markup="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01"/>
    <w:rsid w:val="000823C4"/>
    <w:rsid w:val="000D79B8"/>
    <w:rsid w:val="001F3C92"/>
    <w:rsid w:val="00214959"/>
    <w:rsid w:val="0029498D"/>
    <w:rsid w:val="002A6B17"/>
    <w:rsid w:val="003A21BA"/>
    <w:rsid w:val="003D5BC1"/>
    <w:rsid w:val="00442747"/>
    <w:rsid w:val="004774B3"/>
    <w:rsid w:val="00477D65"/>
    <w:rsid w:val="00482DA5"/>
    <w:rsid w:val="00483CB6"/>
    <w:rsid w:val="005019D9"/>
    <w:rsid w:val="00572C77"/>
    <w:rsid w:val="005A29D1"/>
    <w:rsid w:val="006B39C5"/>
    <w:rsid w:val="0077076F"/>
    <w:rsid w:val="00796066"/>
    <w:rsid w:val="007B08B0"/>
    <w:rsid w:val="007D2901"/>
    <w:rsid w:val="00870D39"/>
    <w:rsid w:val="00882307"/>
    <w:rsid w:val="00885FC2"/>
    <w:rsid w:val="008B127C"/>
    <w:rsid w:val="00902C5B"/>
    <w:rsid w:val="009418C5"/>
    <w:rsid w:val="00965EAB"/>
    <w:rsid w:val="009E3C6A"/>
    <w:rsid w:val="00A429C6"/>
    <w:rsid w:val="00A8678C"/>
    <w:rsid w:val="00B920B0"/>
    <w:rsid w:val="00D14701"/>
    <w:rsid w:val="00D52A75"/>
    <w:rsid w:val="00D57EA5"/>
    <w:rsid w:val="00D63C2A"/>
    <w:rsid w:val="00DC1DBE"/>
    <w:rsid w:val="00DD79BC"/>
    <w:rsid w:val="00E05B5A"/>
    <w:rsid w:val="00E72E81"/>
    <w:rsid w:val="00E95AD6"/>
    <w:rsid w:val="00FE4440"/>
    <w:rsid w:val="00FE4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557A7BC"/>
  <w15:docId w15:val="{AC0BBDEF-C56D-4096-BAE6-8E19BD4D0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Ecofont_Spranq_eco_Sans" w:hAnsi="Ecofont_Spranq_eco_Sans" w:cs="Tahoma"/>
      <w:sz w:val="24"/>
      <w:szCs w:val="24"/>
      <w:lang w:eastAsia="pt-BR"/>
    </w:rPr>
  </w:style>
  <w:style w:type="paragraph" w:styleId="Ttulo1">
    <w:name w:val="heading 1"/>
    <w:basedOn w:val="Normal"/>
    <w:next w:val="Normal"/>
    <w:link w:val="Ttulo1Char"/>
    <w:uiPriority w:val="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sz w:val="22"/>
      <w:szCs w:val="22"/>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sz w:val="22"/>
      <w:szCs w:val="22"/>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Heading2Char">
    <w:name w:val="Heading 2 Char"/>
    <w:basedOn w:val="Fontepargpadro"/>
    <w:uiPriority w:val="9"/>
    <w:rPr>
      <w:rFonts w:ascii="Arial" w:eastAsia="Arial" w:hAnsi="Arial" w:cs="Arial"/>
      <w:sz w:val="34"/>
    </w:rPr>
  </w:style>
  <w:style w:type="character" w:customStyle="1" w:styleId="Heading3Char">
    <w:name w:val="Heading 3 Char"/>
    <w:basedOn w:val="Fontepargpadro"/>
    <w:uiPriority w:val="9"/>
    <w:rPr>
      <w:rFonts w:ascii="Arial" w:eastAsia="Arial" w:hAnsi="Arial" w:cs="Arial"/>
      <w:sz w:val="30"/>
      <w:szCs w:val="30"/>
    </w:rPr>
  </w:style>
  <w:style w:type="character" w:customStyle="1" w:styleId="Heading4Char">
    <w:name w:val="Heading 4 Char"/>
    <w:basedOn w:val="Fontepargpadro"/>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Heading6Char">
    <w:name w:val="Heading 6 Char"/>
    <w:basedOn w:val="Fontepargpadro"/>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style>
  <w:style w:type="character" w:customStyle="1" w:styleId="SubttuloChar">
    <w:name w:val="Subtítulo Char"/>
    <w:basedOn w:val="Fontepargpadro"/>
    <w:link w:val="Subttulo"/>
    <w:uiPriority w:val="11"/>
    <w:rPr>
      <w:sz w:val="24"/>
      <w:szCs w:val="24"/>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extodenotaderodap">
    <w:name w:val="footnote text"/>
    <w:basedOn w:val="Normal"/>
    <w:link w:val="TextodenotaderodapChar"/>
    <w:uiPriority w:val="99"/>
    <w:semiHidden/>
    <w:unhideWhenUsed/>
    <w:pPr>
      <w:spacing w:after="40"/>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p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CabealhodoSumrio">
    <w:name w:val="TOC Heading"/>
    <w:uiPriority w:val="39"/>
    <w:unhideWhenUsed/>
  </w:style>
  <w:style w:type="paragraph" w:styleId="ndicedeilustraes">
    <w:name w:val="table of figures"/>
    <w:basedOn w:val="Normal"/>
    <w:next w:val="Normal"/>
    <w:uiPriority w:val="99"/>
    <w:unhideWhenUsed/>
  </w:style>
  <w:style w:type="paragraph" w:styleId="PargrafodaLista">
    <w:name w:val="List Paragraph"/>
    <w:basedOn w:val="Normal"/>
    <w:link w:val="PargrafodaListaChar"/>
    <w:uiPriority w:val="34"/>
    <w:pPr>
      <w:ind w:left="720"/>
      <w:contextualSpacing/>
    </w:pPr>
  </w:style>
  <w:style w:type="paragraph" w:styleId="NormalWeb">
    <w:name w:val="Normal (Web)"/>
    <w:basedOn w:val="Normal"/>
    <w:uiPriority w:val="9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Pr>
      <w:rFonts w:ascii="Tahoma" w:hAnsi="Tahoma"/>
      <w:sz w:val="16"/>
      <w:szCs w:val="16"/>
    </w:rPr>
  </w:style>
  <w:style w:type="character" w:customStyle="1" w:styleId="TextodebaloChar">
    <w:name w:val="Texto de balão Char"/>
    <w:link w:val="Textodebalo"/>
    <w:uiPriority w:val="99"/>
    <w:rPr>
      <w:rFonts w:ascii="Tahoma" w:hAnsi="Tahoma" w:cs="Tahoma"/>
      <w:sz w:val="16"/>
      <w:szCs w:val="16"/>
    </w:rPr>
  </w:style>
  <w:style w:type="character" w:customStyle="1" w:styleId="Ttulo2Char">
    <w:name w:val="Título 2 Char"/>
    <w:link w:val="Ttulo2"/>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hint="default"/>
      <w:strike w:val="0"/>
      <w:sz w:val="24"/>
      <w:szCs w:val="24"/>
      <w:u w:val="none"/>
    </w:rPr>
  </w:style>
  <w:style w:type="character" w:customStyle="1" w:styleId="apple-style-span">
    <w:name w:val="apple-style-span"/>
    <w:basedOn w:val="Fontepargpadro"/>
  </w:style>
  <w:style w:type="character" w:styleId="Hyperlink">
    <w:name w:val="Hyperlink"/>
    <w:rPr>
      <w:color w:val="000080"/>
      <w:u w:val="single"/>
    </w:rPr>
  </w:style>
  <w:style w:type="paragraph" w:styleId="Citao">
    <w:name w:val="Quote"/>
    <w:basedOn w:val="Normal"/>
    <w:next w:val="Normal"/>
    <w:link w:val="Citao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styleId="Commarcadores5">
    <w:name w:val="List Bullet 5"/>
    <w:basedOn w:val="Normal"/>
    <w:pPr>
      <w:numPr>
        <w:numId w:val="7"/>
      </w:numPr>
      <w:contextualSpacing/>
    </w:pPr>
  </w:style>
  <w:style w:type="paragraph" w:customStyle="1" w:styleId="Notaexplicativa">
    <w:name w:val="Nota explicativa"/>
    <w:basedOn w:val="Citao"/>
    <w:link w:val="NotaexplicativaChar"/>
    <w:rPr>
      <w:szCs w:val="20"/>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link w:val="Cabealho"/>
    <w:uiPriority w:val="99"/>
    <w:rPr>
      <w:rFonts w:ascii="Ecofont_Spranq_eco_Sans" w:hAnsi="Ecofont_Spranq_eco_Sans" w:cs="Tahoma"/>
      <w:sz w:val="24"/>
      <w:szCs w:val="24"/>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link w:val="Rodap"/>
    <w:uiPriority w:val="99"/>
    <w:qFormat/>
    <w:rPr>
      <w:rFonts w:ascii="Ecofont_Spranq_eco_Sans" w:hAnsi="Ecofont_Spranq_eco_Sans" w:cs="Tahoma"/>
      <w:sz w:val="24"/>
      <w:szCs w:val="24"/>
    </w:rPr>
  </w:style>
  <w:style w:type="numbering" w:customStyle="1" w:styleId="Estilo1">
    <w:name w:val="Estilo1"/>
    <w:uiPriority w:val="99"/>
    <w:pPr>
      <w:numPr>
        <w:numId w:val="8"/>
      </w:numPr>
    </w:pPr>
  </w:style>
  <w:style w:type="numbering" w:customStyle="1" w:styleId="Estilo2">
    <w:name w:val="Estilo2"/>
    <w:uiPriority w:val="99"/>
    <w:pPr>
      <w:numPr>
        <w:numId w:val="9"/>
      </w:numPr>
    </w:pPr>
  </w:style>
  <w:style w:type="numbering" w:customStyle="1" w:styleId="Estilo3">
    <w:name w:val="Estilo3"/>
    <w:uiPriority w:val="99"/>
    <w:pPr>
      <w:numPr>
        <w:numId w:val="10"/>
      </w:numPr>
    </w:pPr>
  </w:style>
  <w:style w:type="numbering" w:customStyle="1" w:styleId="Estilo4">
    <w:name w:val="Estilo4"/>
    <w:uiPriority w:val="99"/>
    <w:pPr>
      <w:numPr>
        <w:numId w:val="11"/>
      </w:numPr>
    </w:pPr>
  </w:style>
  <w:style w:type="numbering" w:customStyle="1" w:styleId="Estilo5">
    <w:name w:val="Estilo5"/>
    <w:uiPriority w:val="99"/>
    <w:pPr>
      <w:numPr>
        <w:numId w:val="12"/>
      </w:numPr>
    </w:pPr>
  </w:style>
  <w:style w:type="numbering" w:customStyle="1" w:styleId="Estilo6">
    <w:name w:val="Estilo6"/>
    <w:uiPriority w:val="99"/>
    <w:pPr>
      <w:numPr>
        <w:numId w:val="13"/>
      </w:numPr>
    </w:pPr>
  </w:style>
  <w:style w:type="character" w:styleId="Refdecomentrio">
    <w:name w:val="annotation reference"/>
    <w:basedOn w:val="Fontepargpadro"/>
    <w:unhideWhenUsed/>
    <w:rPr>
      <w:sz w:val="16"/>
      <w:szCs w:val="16"/>
    </w:rPr>
  </w:style>
  <w:style w:type="paragraph" w:styleId="Textodecomentrio">
    <w:name w:val="annotation text"/>
    <w:basedOn w:val="Normal"/>
    <w:link w:val="TextodecomentrioChar"/>
    <w:uiPriority w:val="99"/>
    <w:unhideWhenUsed/>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eastAsia="pt-BR"/>
    </w:rPr>
  </w:style>
  <w:style w:type="character" w:customStyle="1" w:styleId="Ttulo4Char">
    <w:name w:val="Título 4 Char"/>
    <w:basedOn w:val="Fontepargpadro"/>
    <w:link w:val="Ttulo4"/>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heme="majorBidi"/>
      <w:color w:val="000000" w:themeColor="text1"/>
      <w:spacing w:val="5"/>
      <w:sz w:val="52"/>
      <w:szCs w:val="52"/>
    </w:rPr>
  </w:style>
  <w:style w:type="paragraph" w:styleId="Ttulo">
    <w:name w:val="Title"/>
    <w:basedOn w:val="Normal"/>
    <w:next w:val="Normal"/>
    <w:link w:val="TtuloChar"/>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TtuloChar">
    <w:name w:val="Título Char"/>
    <w:basedOn w:val="Fontepargpadro"/>
    <w:link w:val="Ttulo"/>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uiPriority w:val="9"/>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sz w:val="52"/>
      <w:szCs w:val="52"/>
      <w:lang w:eastAsia="pt-BR"/>
    </w:rPr>
  </w:style>
  <w:style w:type="table" w:styleId="Tabelacomgrade">
    <w:name w:val="Table Grid"/>
    <w:basedOn w:val="Tabela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O">
    <w:name w:val="PADRÃO"/>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styleId="Corpodetexto">
    <w:name w:val="Body Text"/>
    <w:basedOn w:val="Normal"/>
    <w:link w:val="CorpodetextoChar"/>
    <w:uiPriority w:val="99"/>
    <w:unhideWhenUse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Pr>
      <w:rFonts w:eastAsia="Times New Roman"/>
      <w:sz w:val="24"/>
      <w:szCs w:val="24"/>
      <w:lang w:eastAsia="pt-BR"/>
    </w:rPr>
  </w:style>
  <w:style w:type="paragraph" w:customStyle="1" w:styleId="Nivel1">
    <w:name w:val="Nivel1"/>
    <w:basedOn w:val="Ttulo1"/>
    <w:link w:val="Nivel1Char"/>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ind w:left="720"/>
    </w:pPr>
    <w:rPr>
      <w:rFonts w:eastAsia="Times New Roman" w:cs="Ecofont_Spranq_eco_Sans"/>
    </w:rPr>
  </w:style>
  <w:style w:type="paragraph" w:customStyle="1" w:styleId="Nivel2">
    <w:name w:val="Nivel 2"/>
    <w:basedOn w:val="Normal"/>
    <w:link w:val="Nivel2Char"/>
    <w:qFormat/>
    <w:pPr>
      <w:numPr>
        <w:ilvl w:val="1"/>
        <w:numId w:val="6"/>
      </w:numPr>
      <w:spacing w:before="120" w:after="120" w:line="276" w:lineRule="auto"/>
      <w:ind w:left="0" w:firstLine="0"/>
      <w:jc w:val="both"/>
    </w:pPr>
    <w:rPr>
      <w:rFonts w:ascii="Arial" w:eastAsia="Arial" w:hAnsi="Arial" w:cs="Arial"/>
      <w:color w:val="000000"/>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qFormat/>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pPr>
      <w:numPr>
        <w:ilvl w:val="3"/>
      </w:numPr>
      <w:ind w:left="567" w:firstLine="0"/>
    </w:pPr>
    <w:rPr>
      <w:color w:val="auto"/>
    </w:rPr>
  </w:style>
  <w:style w:type="paragraph" w:customStyle="1" w:styleId="Nivel5">
    <w:name w:val="Nivel 5"/>
    <w:basedOn w:val="Nivel4"/>
    <w:qFormat/>
    <w:pPr>
      <w:numPr>
        <w:ilvl w:val="4"/>
      </w:numPr>
      <w:ind w:left="851" w:firstLine="0"/>
    </w:pPr>
  </w:style>
  <w:style w:type="character" w:customStyle="1" w:styleId="Nivel4Char">
    <w:name w:val="Nivel 4 Char"/>
    <w:basedOn w:val="Fontepargpadro"/>
    <w:link w:val="Nivel4"/>
    <w:rPr>
      <w:rFonts w:ascii="Arial" w:hAnsi="Arial" w:cs="Arial"/>
      <w:lang w:eastAsia="pt-BR"/>
    </w:rPr>
  </w:style>
  <w:style w:type="paragraph" w:customStyle="1" w:styleId="textbody">
    <w:name w:val="textbody"/>
    <w:basedOn w:val="Normal"/>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trike w:val="0"/>
      <w:sz w:val="26"/>
      <w:szCs w:val="26"/>
      <w:u w:val="none"/>
    </w:rPr>
  </w:style>
  <w:style w:type="character" w:customStyle="1" w:styleId="em0020ementachar1">
    <w:name w:val="em_0020ementa__char1"/>
    <w:rPr>
      <w:rFonts w:ascii="Times New Roman" w:hAnsi="Times New Roman" w:cs="Times New Roman" w:hint="default"/>
      <w:strike w:val="0"/>
      <w:sz w:val="28"/>
      <w:szCs w:val="28"/>
      <w:u w:val="none"/>
    </w:rPr>
  </w:style>
  <w:style w:type="paragraph" w:styleId="Reviso">
    <w:name w:val="Revision"/>
    <w:hidden/>
    <w:uiPriority w:val="99"/>
    <w:semiHidden/>
    <w:rPr>
      <w:rFonts w:ascii="Ecofont_Spranq_eco_Sans" w:eastAsia="Times New Roman" w:hAnsi="Ecofont_Spranq_eco_Sans" w:cs="Tahoma"/>
      <w:sz w:val="24"/>
      <w:szCs w:val="24"/>
      <w:lang w:eastAsia="pt-BR"/>
    </w:rPr>
  </w:style>
  <w:style w:type="character" w:styleId="Forte">
    <w:name w:val="Strong"/>
    <w:basedOn w:val="Fontepargpadro"/>
    <w:uiPriority w:val="22"/>
    <w:rPr>
      <w:b/>
      <w:bCs/>
    </w:rPr>
  </w:style>
  <w:style w:type="character" w:styleId="nfase">
    <w:name w:val="Emphasis"/>
    <w:basedOn w:val="Fontepargpadro"/>
    <w:uiPriority w:val="20"/>
    <w:qFormat/>
    <w:rPr>
      <w:i/>
      <w:iCs/>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Pr>
      <w:rFonts w:ascii="Arial" w:eastAsia="Calibri" w:hAnsi="Arial"/>
      <w:i/>
      <w:iCs/>
      <w:color w:val="000000"/>
      <w:szCs w:val="24"/>
      <w:shd w:val="clear" w:color="auto" w:fill="FFFFCC"/>
    </w:rPr>
  </w:style>
  <w:style w:type="paragraph" w:customStyle="1" w:styleId="xwestern">
    <w:name w:val="x_western"/>
    <w:basedOn w:val="Normal"/>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pPr>
      <w:ind w:firstLine="1134"/>
      <w:jc w:val="both"/>
    </w:pPr>
    <w:rPr>
      <w:rFonts w:ascii="Times New Roman" w:eastAsia="Times New Roman" w:hAnsi="Times New Roman" w:cs="Times New Roman"/>
      <w:szCs w:val="22"/>
      <w:lang w:eastAsia="en-US"/>
    </w:rPr>
  </w:style>
  <w:style w:type="paragraph" w:customStyle="1" w:styleId="Normal1">
    <w:name w:val="Normal_1"/>
    <w:rPr>
      <w:rFonts w:eastAsia="Times New Roman"/>
      <w:sz w:val="24"/>
      <w:szCs w:val="22"/>
    </w:rPr>
  </w:style>
  <w:style w:type="paragraph" w:customStyle="1" w:styleId="tcu-ac-item9-1linha">
    <w:name w:val="tcu_-__ac_-_item_9_-_1ª_linha"/>
    <w:basedOn w:val="Normal"/>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style>
  <w:style w:type="paragraph" w:customStyle="1" w:styleId="textojustificado">
    <w:name w:val="texto_justificado"/>
    <w:basedOn w:val="Normal"/>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Pr>
      <w:color w:val="800080" w:themeColor="followed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rPr>
      <w:rFonts w:ascii="Arial" w:eastAsia="Arial" w:hAnsi="Arial" w:cs="Arial"/>
      <w:color w:val="000000"/>
      <w:lang w:eastAsia="pt-BR"/>
    </w:rPr>
  </w:style>
  <w:style w:type="paragraph" w:customStyle="1" w:styleId="Nvel2Opcional">
    <w:name w:val="Nível 2 Opcional"/>
    <w:basedOn w:val="Nivel2"/>
    <w:link w:val="Nvel2OpcionalChar"/>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lang w:eastAsia="pt-BR"/>
    </w:rPr>
  </w:style>
  <w:style w:type="character" w:customStyle="1" w:styleId="Nvel3OpcionalChar">
    <w:name w:val="Nível 3 Opcional Char"/>
    <w:basedOn w:val="Fontepargpadro"/>
    <w:link w:val="Nvel3Opcional"/>
    <w:rPr>
      <w:rFonts w:ascii="Arial" w:eastAsia="Times New Roman" w:hAnsi="Arial" w:cs="Arial"/>
      <w:i/>
      <w:iCs/>
      <w:color w:val="FF0000"/>
      <w:lang w:eastAsia="pt-BR"/>
    </w:rPr>
  </w:style>
  <w:style w:type="character" w:styleId="TextodoEspaoReservado">
    <w:name w:val="Placeholder Text"/>
    <w:basedOn w:val="Fontepargpadro"/>
    <w:uiPriority w:val="67"/>
    <w:semiHidden/>
    <w:rPr>
      <w:color w:val="808080"/>
    </w:rPr>
  </w:style>
  <w:style w:type="character" w:customStyle="1" w:styleId="PargrafodaListaChar">
    <w:name w:val="Parágrafo da Lista Char"/>
    <w:basedOn w:val="Fontepargpadro"/>
    <w:link w:val="PargrafodaLista"/>
    <w:uiPriority w:val="34"/>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style>
  <w:style w:type="paragraph" w:customStyle="1" w:styleId="Standard">
    <w:name w:val="Standard"/>
    <w:rPr>
      <w:rFonts w:ascii="Liberation Serif" w:eastAsia="NSimSun" w:hAnsi="Liberation Serif" w:cs="Lucida Sans"/>
      <w:sz w:val="24"/>
      <w:szCs w:val="24"/>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Pr>
      <w:rFonts w:ascii="Arial" w:eastAsiaTheme="minorHAnsi" w:hAnsi="Arial" w:cs="Arial"/>
      <w:b/>
      <w:bCs/>
      <w:i/>
      <w:iCs/>
      <w:color w:val="FF0000"/>
      <w:sz w:val="24"/>
      <w:szCs w:val="24"/>
      <w:u w:val="single"/>
      <w:lang w:eastAsia="pt-BR"/>
    </w:rPr>
  </w:style>
  <w:style w:type="paragraph" w:customStyle="1" w:styleId="dou-paragraph">
    <w:name w:val="dou-paragraph"/>
    <w:basedOn w:val="Normal"/>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eastAsia="Arial" w:hAnsi="Arial" w:cs="Arial"/>
      <w:i/>
      <w:iCs/>
      <w:color w:val="FF0000"/>
      <w:lang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rPr>
      <w:rFonts w:ascii="Arial" w:hAnsi="Arial" w:cs="Arial"/>
      <w:color w:val="000000"/>
      <w:lang w:eastAsia="pt-BR"/>
    </w:rPr>
  </w:style>
  <w:style w:type="character" w:customStyle="1" w:styleId="Nvel3-RChar">
    <w:name w:val="Nível 3-R Char"/>
    <w:basedOn w:val="Nivel3Char"/>
    <w:link w:val="Nvel3-R"/>
    <w:rPr>
      <w:rFonts w:ascii="Arial" w:hAnsi="Arial" w:cs="Arial"/>
      <w:i/>
      <w:iCs/>
      <w:color w:val="FF0000"/>
      <w:lang w:eastAsia="pt-BR"/>
    </w:rPr>
  </w:style>
  <w:style w:type="paragraph" w:customStyle="1" w:styleId="Nvel1-SemNum">
    <w:name w:val="Nível 1-Sem Num"/>
    <w:basedOn w:val="Nivel01"/>
    <w:link w:val="Nvel1-SemNumChar"/>
    <w:qFormat/>
    <w:pPr>
      <w:numPr>
        <w:numId w:val="0"/>
      </w:numPr>
      <w:outlineLvl w:val="1"/>
    </w:pPr>
    <w:rPr>
      <w:color w:val="FF0000"/>
    </w:rPr>
  </w:style>
  <w:style w:type="character" w:customStyle="1" w:styleId="Nvel4-RChar">
    <w:name w:val="Nível 4-R Char"/>
    <w:basedOn w:val="Nivel4Char"/>
    <w:link w:val="Nvel4-R"/>
    <w:rPr>
      <w:rFonts w:ascii="Arial" w:hAnsi="Arial" w:cs="Arial"/>
      <w:i/>
      <w:iCs/>
      <w:color w:val="FF0000"/>
      <w:lang w:eastAsia="pt-BR"/>
    </w:rPr>
  </w:style>
  <w:style w:type="character" w:customStyle="1" w:styleId="LinkdaInternet">
    <w:name w:val="Link da Internet"/>
    <w:basedOn w:val="Fontepargpadro"/>
    <w:uiPriority w:val="99"/>
    <w:unhideWhenUsed/>
    <w:rPr>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sz w:val="52"/>
      <w:szCs w:val="52"/>
      <w:lang w:eastAsia="pt-BR"/>
    </w:rPr>
  </w:style>
  <w:style w:type="paragraph" w:customStyle="1" w:styleId="citao2">
    <w:name w:val="citação 2"/>
    <w:basedOn w:val="Citao"/>
    <w:rPr>
      <w:szCs w:val="20"/>
    </w:rPr>
  </w:style>
  <w:style w:type="paragraph" w:customStyle="1" w:styleId="Prembulo">
    <w:name w:val="Preâmbulo"/>
    <w:basedOn w:val="Normal"/>
    <w:link w:val="PrembuloChar"/>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lang w:eastAsia="pt-BR"/>
    </w:rPr>
  </w:style>
  <w:style w:type="character" w:customStyle="1" w:styleId="Mentionnonrsolue1">
    <w:name w:val="Mention non résolue1"/>
    <w:basedOn w:val="Fontepargpadro"/>
    <w:uiPriority w:val="99"/>
    <w:semiHidden/>
    <w:unhideWhenUsed/>
    <w:rPr>
      <w:color w:val="605E5C"/>
      <w:shd w:val="clear" w:color="auto" w:fill="E1DFDD"/>
    </w:rPr>
  </w:style>
  <w:style w:type="character" w:customStyle="1" w:styleId="findhit">
    <w:name w:val="findhit"/>
    <w:basedOn w:val="Fontepargpadro"/>
  </w:style>
  <w:style w:type="paragraph" w:customStyle="1" w:styleId="Nivel3-erro">
    <w:name w:val="Nivel 3-erro"/>
    <w:basedOn w:val="Nivel3"/>
    <w:link w:val="Nivel3-erroChar"/>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Pr>
      <w:rFonts w:ascii="Arial" w:hAnsi="Arial" w:cs="Tahoma"/>
      <w:szCs w:val="24"/>
      <w:lang w:eastAsia="pt-BR"/>
    </w:rPr>
  </w:style>
  <w:style w:type="paragraph" w:customStyle="1" w:styleId="Alteraes">
    <w:name w:val="Alterações"/>
    <w:basedOn w:val="Normal"/>
    <w:link w:val="AlteraesChar"/>
    <w:uiPriority w:val="1"/>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Pr>
      <w:rFonts w:ascii="Arial" w:hAnsi="Arial" w:cs="Arial"/>
      <w:i/>
      <w:iCs/>
      <w:color w:val="0000FF"/>
      <w:lang w:eastAsia="pt-BR"/>
    </w:rPr>
  </w:style>
  <w:style w:type="character" w:styleId="Meno">
    <w:name w:val="Mention"/>
    <w:basedOn w:val="Fontepargpadro"/>
    <w:uiPriority w:val="99"/>
    <w:unhideWhenUsed/>
    <w:rPr>
      <w:color w:val="2B579A"/>
      <w:shd w:val="clear" w:color="auto" w:fill="E6E6E6"/>
    </w:rPr>
  </w:style>
  <w:style w:type="character" w:styleId="MenoPendente">
    <w:name w:val="Unresolved Mention"/>
    <w:basedOn w:val="Fontepargpadro"/>
    <w:uiPriority w:val="99"/>
    <w:semiHidden/>
    <w:unhideWhenUsed/>
    <w:rPr>
      <w:color w:val="605E5C"/>
      <w:shd w:val="clear" w:color="auto" w:fill="E1DFDD"/>
    </w:rPr>
  </w:style>
  <w:style w:type="paragraph" w:customStyle="1" w:styleId="Nvel1-SemNumPreto">
    <w:name w:val="Nível 1-Sem Num Preto"/>
    <w:basedOn w:val="Nvel1-SemNum"/>
    <w:link w:val="Nvel1-SemNumPretoChar"/>
    <w:qFormat/>
    <w:rPr>
      <w:color w:val="auto"/>
      <w:lang w:eastAsia="zh-CN" w:bidi="hi-IN"/>
    </w:rPr>
  </w:style>
  <w:style w:type="character" w:customStyle="1" w:styleId="Nvel1-SemNumPretoChar">
    <w:name w:val="Nível 1-Sem Num Preto Char"/>
    <w:basedOn w:val="Nvel1-SemNumChar"/>
    <w:link w:val="Nvel1-SemNumPreto"/>
    <w:rPr>
      <w:rFonts w:ascii="Arial" w:eastAsiaTheme="majorEastAsia" w:hAnsi="Arial" w:cs="Arial"/>
      <w:b/>
      <w:bCs/>
      <w:color w:val="FF0000"/>
      <w:spacing w:val="5"/>
      <w:sz w:val="52"/>
      <w:szCs w:val="52"/>
      <w:lang w:eastAsia="zh-CN" w:bidi="hi-IN"/>
    </w:rPr>
  </w:style>
  <w:style w:type="paragraph" w:customStyle="1" w:styleId="Breno1">
    <w:name w:val="Breno1"/>
    <w:qFormat/>
    <w:pPr>
      <w:numPr>
        <w:numId w:val="25"/>
      </w:numPr>
      <w:pBdr>
        <w:top w:val="none" w:sz="4" w:space="0" w:color="000000"/>
        <w:left w:val="none" w:sz="4" w:space="0" w:color="000000"/>
        <w:bottom w:val="none" w:sz="4" w:space="0" w:color="000000"/>
        <w:right w:val="none" w:sz="4" w:space="0" w:color="000000"/>
        <w:between w:val="none" w:sz="4" w:space="0" w:color="000000"/>
      </w:pBdr>
      <w:spacing w:before="120" w:line="360" w:lineRule="auto"/>
    </w:pPr>
    <w:rPr>
      <w:rFonts w:ascii="Arial" w:eastAsia="Times New Roman" w:hAnsi="Arial"/>
      <w:b/>
      <w:iCs/>
      <w:caps/>
      <w:color w:val="000000"/>
      <w:sz w:val="22"/>
      <w:szCs w:val="24"/>
      <w:lang w:eastAsia="pt-BR"/>
    </w:rPr>
  </w:style>
  <w:style w:type="paragraph" w:customStyle="1" w:styleId="Breno2">
    <w:name w:val="Breno2"/>
    <w:qFormat/>
    <w:pPr>
      <w:numPr>
        <w:ilvl w:val="1"/>
        <w:numId w:val="25"/>
      </w:numPr>
      <w:pBdr>
        <w:top w:val="none" w:sz="4" w:space="0" w:color="000000"/>
        <w:left w:val="none" w:sz="4" w:space="0" w:color="000000"/>
        <w:bottom w:val="none" w:sz="4" w:space="0" w:color="000000"/>
        <w:right w:val="none" w:sz="4" w:space="0" w:color="000000"/>
        <w:between w:val="none" w:sz="4" w:space="0" w:color="000000"/>
      </w:pBdr>
      <w:tabs>
        <w:tab w:val="left" w:pos="360"/>
        <w:tab w:val="left" w:pos="990"/>
      </w:tabs>
      <w:spacing w:after="120" w:line="360" w:lineRule="auto"/>
      <w:jc w:val="both"/>
    </w:pPr>
    <w:rPr>
      <w:rFonts w:ascii="Arial" w:eastAsia="Times New Roman" w:hAnsi="Arial"/>
      <w:b/>
      <w:iCs/>
      <w:caps/>
      <w:color w:val="000000"/>
      <w:sz w:val="22"/>
      <w:szCs w:val="22"/>
      <w:lang w:eastAsia="pt-BR"/>
    </w:rPr>
  </w:style>
  <w:style w:type="paragraph" w:customStyle="1" w:styleId="Breno31">
    <w:name w:val="Breno3.1"/>
    <w:qFormat/>
    <w:pPr>
      <w:numPr>
        <w:ilvl w:val="2"/>
        <w:numId w:val="25"/>
      </w:numPr>
      <w:pBdr>
        <w:top w:val="none" w:sz="4" w:space="0" w:color="000000"/>
        <w:left w:val="none" w:sz="4" w:space="0" w:color="000000"/>
        <w:bottom w:val="none" w:sz="4" w:space="0" w:color="000000"/>
        <w:right w:val="none" w:sz="4" w:space="0" w:color="000000"/>
        <w:between w:val="none" w:sz="4" w:space="0" w:color="000000"/>
      </w:pBdr>
      <w:tabs>
        <w:tab w:val="left" w:pos="990"/>
      </w:tabs>
      <w:spacing w:line="360" w:lineRule="auto"/>
      <w:jc w:val="both"/>
    </w:pPr>
    <w:rPr>
      <w:rFonts w:ascii="Arial" w:eastAsia="Times New Roman" w:hAnsi="Arial"/>
      <w:iCs/>
      <w:color w:val="000000"/>
      <w:sz w:val="22"/>
      <w:szCs w:val="22"/>
      <w:lang w:eastAsia="pt-BR"/>
    </w:rPr>
  </w:style>
  <w:style w:type="paragraph" w:customStyle="1" w:styleId="BRENO">
    <w:name w:val="BRENO"/>
    <w:qFormat/>
    <w:pPr>
      <w:numPr>
        <w:ilvl w:val="3"/>
        <w:numId w:val="25"/>
      </w:numPr>
      <w:pBdr>
        <w:top w:val="none" w:sz="4" w:space="0" w:color="000000"/>
        <w:left w:val="none" w:sz="4" w:space="0" w:color="000000"/>
        <w:bottom w:val="none" w:sz="4" w:space="0" w:color="000000"/>
        <w:right w:val="none" w:sz="4" w:space="0" w:color="000000"/>
        <w:between w:val="none" w:sz="4" w:space="0" w:color="000000"/>
      </w:pBdr>
      <w:tabs>
        <w:tab w:val="left" w:pos="993"/>
        <w:tab w:val="left" w:pos="1080"/>
      </w:tabs>
      <w:spacing w:line="360" w:lineRule="auto"/>
      <w:ind w:left="2520" w:hanging="360"/>
      <w:jc w:val="both"/>
    </w:pPr>
    <w:rPr>
      <w:rFonts w:ascii="Arial" w:eastAsia="Times New Roman" w:hAnsi="Arial"/>
      <w:iCs/>
      <w:color w:val="000000"/>
      <w:sz w:val="22"/>
      <w:szCs w:val="22"/>
      <w:lang w:eastAsia="pt-BR"/>
    </w:rPr>
  </w:style>
  <w:style w:type="paragraph" w:customStyle="1" w:styleId="Default">
    <w:name w:val="Default"/>
    <w:pPr>
      <w:pBdr>
        <w:top w:val="none" w:sz="4" w:space="0" w:color="000000"/>
        <w:left w:val="none" w:sz="4" w:space="0" w:color="000000"/>
        <w:bottom w:val="none" w:sz="4" w:space="0" w:color="000000"/>
        <w:right w:val="none" w:sz="4" w:space="0" w:color="000000"/>
        <w:between w:val="none" w:sz="4" w:space="0" w:color="000000"/>
      </w:pBdr>
    </w:pPr>
    <w:rPr>
      <w:rFonts w:ascii="Arial" w:eastAsia="Times New Roman" w:hAnsi="Arial" w:cs="Arial"/>
      <w:color w:val="000000"/>
      <w:sz w:val="24"/>
      <w:szCs w:val="24"/>
      <w:lang w:eastAsia="pt-BR"/>
    </w:rPr>
  </w:style>
  <w:style w:type="character" w:customStyle="1" w:styleId="fontstyle01">
    <w:name w:val="fontstyle01"/>
    <w:basedOn w:val="Fontepargpadro"/>
    <w:rsid w:val="006B39C5"/>
    <w:rPr>
      <w:rFonts w:ascii="CIDFont+F3" w:hAnsi="CIDFont+F3"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in.gov.br/en/web/dou/-/instrucao-normativa-seges/me-n-77-de-4-de-novembro-de-2022-441681061" TargetMode="External"/><Relationship Id="rId39" Type="http://schemas.openxmlformats.org/officeDocument/2006/relationships/hyperlink" Target="https://www.planalto.gov.br/ccivil_03/leis/l5764.htm" TargetMode="External"/><Relationship Id="rId3" Type="http://schemas.openxmlformats.org/officeDocument/2006/relationships/styles" Target="styles.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https://www.planalto.gov.br/ccivil_03/leis/l5764.htm"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leis/l8429.htm" TargetMode="External"/><Relationship Id="rId41"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5764.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53-de-8-de-julho-de-2020" TargetMode="External"/><Relationship Id="rId36" Type="http://schemas.openxmlformats.org/officeDocument/2006/relationships/hyperlink" Target="https://www.gov.br/compras/pt-br/acesso-a-informacao/legislacao/instrucoes-normativas/instrucao-normativa-seges-me-no-116-de-21-de-dezembro-de-2021" TargetMode="External"/><Relationship Id="rId10" Type="http://schemas.microsoft.com/office/2011/relationships/commentsExtended" Target="commentsExtended.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AGU/Pareceres/2019-2022/PRC-JL-01-2020.htm"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28</Pages>
  <Words>10476</Words>
  <Characters>56576</Characters>
  <Application>Microsoft Office Word</Application>
  <DocSecurity>0</DocSecurity>
  <Lines>471</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ANDERSON LUIZ MARIANO OLIVEIRA</cp:lastModifiedBy>
  <cp:revision>48</cp:revision>
  <cp:lastPrinted>2023-09-04T17:25:00Z</cp:lastPrinted>
  <dcterms:created xsi:type="dcterms:W3CDTF">2023-05-22T11:28:00Z</dcterms:created>
  <dcterms:modified xsi:type="dcterms:W3CDTF">2023-09-04T17:26:00Z</dcterms:modified>
</cp:coreProperties>
</file>